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EFA4" w14:textId="703A9C8B" w:rsidR="001B1A9B" w:rsidRDefault="00EA465F" w:rsidP="001B1A9B">
      <w:pPr>
        <w:pStyle w:val="Heading1"/>
      </w:pPr>
      <w:r>
        <w:t xml:space="preserve">Summary of </w:t>
      </w:r>
      <w:r w:rsidR="00D43033">
        <w:t xml:space="preserve">the </w:t>
      </w:r>
      <w:r w:rsidR="001B1A9B">
        <w:t xml:space="preserve">Draft </w:t>
      </w:r>
      <w:r w:rsidR="001B1A9B" w:rsidRPr="00531450">
        <w:t>Leasing Policy</w:t>
      </w:r>
      <w:r w:rsidR="001B1A9B">
        <w:t xml:space="preserve"> </w:t>
      </w:r>
      <w:r w:rsidR="00D43033">
        <w:t>Amendments</w:t>
      </w:r>
    </w:p>
    <w:p w14:paraId="7B600197" w14:textId="77777777" w:rsidR="001B1A9B" w:rsidRPr="001B1A9B" w:rsidRDefault="001B1A9B" w:rsidP="001B1A9B">
      <w:pPr>
        <w:rPr>
          <w:lang w:val="en-AU"/>
        </w:rPr>
      </w:pPr>
    </w:p>
    <w:p w14:paraId="7F7BA38A" w14:textId="77777777" w:rsidR="001B1A9B" w:rsidRDefault="001B1A9B" w:rsidP="001B1A9B">
      <w:pPr>
        <w:pStyle w:val="Heading2"/>
      </w:pPr>
      <w:r>
        <w:t>Introduction</w:t>
      </w:r>
    </w:p>
    <w:p w14:paraId="453DEA0E" w14:textId="77777777" w:rsidR="001B1A9B" w:rsidRDefault="001B1A9B" w:rsidP="001B1A9B">
      <w:r w:rsidRPr="00406190">
        <w:t xml:space="preserve">The Sydney Harbour Federation Trust (the </w:t>
      </w:r>
      <w:r>
        <w:t>“</w:t>
      </w:r>
      <w:r w:rsidRPr="00406190">
        <w:t>Harbour Trust</w:t>
      </w:r>
      <w:r>
        <w:t>”</w:t>
      </w:r>
      <w:r w:rsidRPr="00406190">
        <w:t xml:space="preserve">) was established under </w:t>
      </w:r>
      <w:r>
        <w:t>s</w:t>
      </w:r>
      <w:r w:rsidRPr="00406190">
        <w:t xml:space="preserve">ection 5 of the </w:t>
      </w:r>
      <w:r w:rsidRPr="00836BF7">
        <w:rPr>
          <w:i/>
          <w:iCs/>
        </w:rPr>
        <w:t>Sydney Harbour Federation Trust Act 2001</w:t>
      </w:r>
      <w:r w:rsidRPr="00406190">
        <w:t xml:space="preserve"> (</w:t>
      </w:r>
      <w:r>
        <w:t>“</w:t>
      </w:r>
      <w:r w:rsidRPr="00836BF7">
        <w:rPr>
          <w:i/>
          <w:iCs/>
        </w:rPr>
        <w:t>Act</w:t>
      </w:r>
      <w:r>
        <w:t>”</w:t>
      </w:r>
      <w:r w:rsidRPr="00406190">
        <w:t xml:space="preserve">), to protect, manage and care for some of Sydney </w:t>
      </w:r>
      <w:proofErr w:type="spellStart"/>
      <w:r w:rsidRPr="00406190">
        <w:t>Harbour’s</w:t>
      </w:r>
      <w:proofErr w:type="spellEnd"/>
      <w:r w:rsidRPr="00406190">
        <w:t xml:space="preserve"> most spectacular and diverse foreshore sites including Cockatoo Island, Headland Park (</w:t>
      </w:r>
      <w:proofErr w:type="spellStart"/>
      <w:r w:rsidRPr="00406190">
        <w:t>Mosman</w:t>
      </w:r>
      <w:proofErr w:type="spellEnd"/>
      <w:r w:rsidRPr="00406190">
        <w:t xml:space="preserve">), Macquarie </w:t>
      </w:r>
      <w:proofErr w:type="spellStart"/>
      <w:r w:rsidRPr="00406190">
        <w:t>Lightstation</w:t>
      </w:r>
      <w:proofErr w:type="spellEnd"/>
      <w:r w:rsidRPr="00406190">
        <w:t xml:space="preserve"> (</w:t>
      </w:r>
      <w:proofErr w:type="spellStart"/>
      <w:r w:rsidRPr="00406190">
        <w:t>Vauclause</w:t>
      </w:r>
      <w:proofErr w:type="spellEnd"/>
      <w:r w:rsidRPr="00406190">
        <w:t xml:space="preserve">), North Head Sanctuary (Manly) and </w:t>
      </w:r>
      <w:proofErr w:type="gramStart"/>
      <w:r w:rsidRPr="00406190">
        <w:t>Sub Base</w:t>
      </w:r>
      <w:proofErr w:type="gramEnd"/>
      <w:r w:rsidRPr="00406190">
        <w:t xml:space="preserve"> Platypus (North Sydney). </w:t>
      </w:r>
    </w:p>
    <w:p w14:paraId="58816B06" w14:textId="77777777" w:rsidR="00516366" w:rsidRDefault="00516366" w:rsidP="00516366">
      <w:proofErr w:type="gramStart"/>
      <w:r>
        <w:t>In order for</w:t>
      </w:r>
      <w:proofErr w:type="gramEnd"/>
      <w:r>
        <w:t xml:space="preserve"> the Harbour Trust to operate and deliver the objectives and priorities, as set out in the </w:t>
      </w:r>
      <w:r w:rsidRPr="00190492">
        <w:rPr>
          <w:i/>
          <w:iCs/>
        </w:rPr>
        <w:t>Act</w:t>
      </w:r>
      <w:r>
        <w:rPr>
          <w:i/>
          <w:iCs/>
        </w:rPr>
        <w:t xml:space="preserve">, </w:t>
      </w:r>
      <w:r w:rsidRPr="00406190">
        <w:t>the Comprehensive Plan and a suite of Management Plans</w:t>
      </w:r>
      <w:r>
        <w:t>; the Harbour Trust generates income though leasing and licensing (collectively defined as ‘Leasing’) of Premises, facilities and land (collectively defined as ‘Premises’), b</w:t>
      </w:r>
      <w:r w:rsidRPr="00406190">
        <w:t>y a publicly transparent and competitive leasing process</w:t>
      </w:r>
      <w:r>
        <w:t>, outlined in the Leasing Policy 2017 (“LP 2017”)</w:t>
      </w:r>
      <w:r w:rsidRPr="00406190">
        <w:t>.</w:t>
      </w:r>
    </w:p>
    <w:p w14:paraId="1D15844E" w14:textId="59ECD55D" w:rsidR="001B1A9B" w:rsidRDefault="001B1A9B" w:rsidP="001B1A9B">
      <w:r>
        <w:t xml:space="preserve">Since the inception of LP 2017, there has been revisions to the </w:t>
      </w:r>
      <w:r w:rsidRPr="008351C4">
        <w:rPr>
          <w:i/>
          <w:iCs/>
        </w:rPr>
        <w:t>Act</w:t>
      </w:r>
      <w:r>
        <w:rPr>
          <w:i/>
          <w:iCs/>
        </w:rPr>
        <w:t>,</w:t>
      </w:r>
      <w:r>
        <w:t xml:space="preserve"> an independent review </w:t>
      </w:r>
      <w:proofErr w:type="gramStart"/>
      <w:r>
        <w:t>conducted</w:t>
      </w:r>
      <w:proofErr w:type="gramEnd"/>
      <w:r>
        <w:t xml:space="preserve"> and feedback received from public consultation. For the Leasing Policy to reflect the revisions and recommendations, the Harbour Trust proposes to replace LP 2017 with a revised Draft Leasing Policy 2022 and Draft Leasing Protocols 2022 (collectively defined as “DLP 2022”).</w:t>
      </w:r>
    </w:p>
    <w:p w14:paraId="6DC229DF" w14:textId="77777777" w:rsidR="001B1A9B" w:rsidRDefault="001B1A9B" w:rsidP="001B1A9B"/>
    <w:p w14:paraId="4862BD98" w14:textId="77777777" w:rsidR="001B1A9B" w:rsidRDefault="001B1A9B" w:rsidP="000C2814">
      <w:pPr>
        <w:pStyle w:val="Heading2"/>
      </w:pPr>
      <w:r w:rsidRPr="00BA2489">
        <w:t>Background</w:t>
      </w:r>
    </w:p>
    <w:p w14:paraId="0F1044AB" w14:textId="77777777" w:rsidR="001B1A9B" w:rsidRDefault="001B1A9B" w:rsidP="001B1A9B">
      <w:bookmarkStart w:id="0" w:name="_Hlk104275539"/>
      <w:r>
        <w:t>LP 2017 was established to set out principles and processes for the leasing of buildings, facilities and land on Trust sites and was approved by the Members of the Trust in 2017.</w:t>
      </w:r>
    </w:p>
    <w:p w14:paraId="38AEFD86" w14:textId="77777777" w:rsidR="001B1A9B" w:rsidRDefault="001B1A9B" w:rsidP="001B1A9B">
      <w:r>
        <w:t xml:space="preserve">In early 2020, the Harbour Trust undertook a review of LP 2017 and released the Draft Leasing Policy 2020 (“DLP 2020”) for public consultation, intending at that time to replace the existing.  </w:t>
      </w:r>
    </w:p>
    <w:p w14:paraId="4E931B3F" w14:textId="77777777" w:rsidR="001B1A9B" w:rsidRDefault="001B1A9B" w:rsidP="001B1A9B">
      <w:r>
        <w:t xml:space="preserve">DLP 2020 did not proceed past public consultation, as in June of that year, an Independent Review of the Harbour Trust was completed (“Independent Review”).  The Independent Review published twenty-one recommendations, </w:t>
      </w:r>
      <w:r w:rsidRPr="00886A2F">
        <w:t xml:space="preserve">of which four </w:t>
      </w:r>
      <w:r>
        <w:t xml:space="preserve">(11, 12, 13 and 19(a)) related to changes </w:t>
      </w:r>
      <w:r w:rsidRPr="00F56B80">
        <w:t xml:space="preserve">to the </w:t>
      </w:r>
      <w:r>
        <w:t>leasing policy</w:t>
      </w:r>
      <w:r w:rsidRPr="00F56B80">
        <w:t>.</w:t>
      </w:r>
      <w:r>
        <w:t xml:space="preserve">  </w:t>
      </w:r>
    </w:p>
    <w:p w14:paraId="7C892184" w14:textId="77777777" w:rsidR="001B1A9B" w:rsidRDefault="001B1A9B" w:rsidP="001B1A9B"/>
    <w:p w14:paraId="33D7B8CB" w14:textId="77777777" w:rsidR="001B1A9B" w:rsidRDefault="001B1A9B" w:rsidP="001B1A9B">
      <w:r>
        <w:t xml:space="preserve">The Independent Review also contained recommendations for changes to the </w:t>
      </w:r>
      <w:r w:rsidRPr="00F5058C">
        <w:rPr>
          <w:i/>
          <w:iCs/>
        </w:rPr>
        <w:t>Act</w:t>
      </w:r>
      <w:r>
        <w:t xml:space="preserve">.  Following on from the publishing of the Independent Review, the </w:t>
      </w:r>
      <w:r w:rsidRPr="0011723A">
        <w:rPr>
          <w:i/>
          <w:iCs/>
        </w:rPr>
        <w:t>Sydney Harbour Federation Trust Amendment Bill 2021</w:t>
      </w:r>
      <w:r>
        <w:t xml:space="preserve"> (“the Bill”) was passed, and the </w:t>
      </w:r>
      <w:r w:rsidRPr="0011723A">
        <w:rPr>
          <w:i/>
          <w:iCs/>
        </w:rPr>
        <w:t>Act</w:t>
      </w:r>
      <w:r>
        <w:t xml:space="preserve"> </w:t>
      </w:r>
      <w:r w:rsidRPr="00E2672E">
        <w:t xml:space="preserve">was </w:t>
      </w:r>
      <w:r>
        <w:t xml:space="preserve">soon after </w:t>
      </w:r>
      <w:r w:rsidRPr="00E2672E">
        <w:t>updated</w:t>
      </w:r>
      <w:r>
        <w:t xml:space="preserve">. </w:t>
      </w:r>
    </w:p>
    <w:p w14:paraId="24486110" w14:textId="77777777" w:rsidR="001B1A9B" w:rsidRDefault="001B1A9B" w:rsidP="001B1A9B">
      <w:r>
        <w:t>A summary of the Independent Review Recommendations, legislative amendments and public consultation feedback is detailed in Appendix A.</w:t>
      </w:r>
    </w:p>
    <w:p w14:paraId="07C077DC" w14:textId="77777777" w:rsidR="001B1A9B" w:rsidRPr="00DD407A" w:rsidRDefault="001B1A9B" w:rsidP="001B1A9B">
      <w:pPr>
        <w:ind w:left="720"/>
      </w:pPr>
    </w:p>
    <w:p w14:paraId="7DC2EC9D" w14:textId="77777777" w:rsidR="001B1A9B" w:rsidRDefault="001B1A9B" w:rsidP="000C2814">
      <w:pPr>
        <w:pStyle w:val="Heading2"/>
      </w:pPr>
      <w:bookmarkStart w:id="1" w:name="_Hlk106628576"/>
      <w:bookmarkEnd w:id="0"/>
      <w:r>
        <w:t>Draft Leasing Policy Changes</w:t>
      </w:r>
      <w:bookmarkEnd w:id="1"/>
    </w:p>
    <w:p w14:paraId="39FC3DFE" w14:textId="77777777" w:rsidR="001B1A9B" w:rsidRDefault="001B1A9B" w:rsidP="000C2814">
      <w:r>
        <w:t xml:space="preserve">The Harbour Trust has reviewed LP 2017 against the revised </w:t>
      </w:r>
      <w:r w:rsidRPr="008351C4">
        <w:rPr>
          <w:i/>
          <w:iCs/>
        </w:rPr>
        <w:t>Act</w:t>
      </w:r>
      <w:r>
        <w:rPr>
          <w:i/>
          <w:iCs/>
        </w:rPr>
        <w:t>,</w:t>
      </w:r>
      <w:r>
        <w:t xml:space="preserve"> the Independent Review recommendations and feedback received from the public consultation of DLP 2020.</w:t>
      </w:r>
    </w:p>
    <w:p w14:paraId="4ECE4C4B" w14:textId="77777777" w:rsidR="001B1A9B" w:rsidRDefault="001B1A9B" w:rsidP="000C2814">
      <w:proofErr w:type="gramStart"/>
      <w:r>
        <w:t>In order for</w:t>
      </w:r>
      <w:proofErr w:type="gramEnd"/>
      <w:r>
        <w:t xml:space="preserve"> the Leasing Policy to reflect the updates and remain fit for purpose, the Harbour Trust proposes to update LP 2017 with DLP 2022.  Structurally there are a few differences to note between LP 2017 and DLP 2022, the most prominent of which being the fact that all process related components have been annexed into a separate document we define as the “protocols”.  Both the draft leasing policy and draft protocols are inextricably linked.  The aim of the protocols document is to make it easier to understand the policy components as separate from the process components.</w:t>
      </w:r>
    </w:p>
    <w:p w14:paraId="67C62ADF" w14:textId="77777777" w:rsidR="001B1A9B" w:rsidRDefault="001B1A9B" w:rsidP="000C2814">
      <w:r w:rsidRPr="00125EAE">
        <w:t>The Harbour Trust notes the amendments drafted, are consistent with legislative requirements and introduced to improve clarity, transparency and the overall streamlining of the policies and protocols.</w:t>
      </w:r>
    </w:p>
    <w:p w14:paraId="7781E14B" w14:textId="77777777" w:rsidR="001B1A9B" w:rsidRDefault="001B1A9B" w:rsidP="000C2814">
      <w:r>
        <w:t>Further updates that can be seen in DLP 2022 include:</w:t>
      </w:r>
    </w:p>
    <w:p w14:paraId="234A5CF1" w14:textId="77777777" w:rsidR="001B1A9B" w:rsidRPr="000C2814" w:rsidRDefault="001B1A9B" w:rsidP="000C2814">
      <w:pPr>
        <w:pStyle w:val="ListParagraph"/>
        <w:numPr>
          <w:ilvl w:val="0"/>
          <w:numId w:val="27"/>
        </w:numPr>
        <w:rPr>
          <w:b/>
          <w:bCs/>
        </w:rPr>
      </w:pPr>
      <w:r w:rsidRPr="000C2814">
        <w:rPr>
          <w:b/>
          <w:bCs/>
        </w:rPr>
        <w:t>Introduction</w:t>
      </w:r>
    </w:p>
    <w:p w14:paraId="76DC3DD9" w14:textId="77777777" w:rsidR="001B1A9B" w:rsidRDefault="001B1A9B" w:rsidP="000C2814">
      <w:pPr>
        <w:pStyle w:val="ListParagraph"/>
        <w:numPr>
          <w:ilvl w:val="0"/>
          <w:numId w:val="0"/>
        </w:numPr>
        <w:ind w:left="360"/>
      </w:pPr>
      <w:r>
        <w:t>The Harbour Trust has inserted an introductory paragraph to briefly outline the Harbour Trust and the Leasing Policy purpose.</w:t>
      </w:r>
    </w:p>
    <w:p w14:paraId="7A3DA5CA" w14:textId="77777777" w:rsidR="001B1A9B" w:rsidRPr="008628C4" w:rsidRDefault="001B1A9B" w:rsidP="000C2814">
      <w:pPr>
        <w:pStyle w:val="ListParagraph"/>
        <w:numPr>
          <w:ilvl w:val="0"/>
          <w:numId w:val="27"/>
        </w:numPr>
      </w:pPr>
      <w:r w:rsidRPr="000C2814">
        <w:rPr>
          <w:b/>
          <w:bCs/>
        </w:rPr>
        <w:t>Terminology</w:t>
      </w:r>
    </w:p>
    <w:p w14:paraId="2A0E2F3E" w14:textId="77777777" w:rsidR="001B1A9B" w:rsidRDefault="001B1A9B" w:rsidP="000C2814">
      <w:pPr>
        <w:pStyle w:val="ListParagraph"/>
        <w:numPr>
          <w:ilvl w:val="0"/>
          <w:numId w:val="29"/>
        </w:numPr>
      </w:pPr>
      <w:r>
        <w:t xml:space="preserve">The word “Buildings” which </w:t>
      </w:r>
      <w:r w:rsidRPr="000C2814">
        <w:rPr>
          <w:rFonts w:cstheme="minorHAnsi"/>
        </w:rPr>
        <w:t xml:space="preserve">encapsulates property, facilities and land </w:t>
      </w:r>
      <w:r>
        <w:t>has been replaced with “Premises” to align with leasing documentation.</w:t>
      </w:r>
    </w:p>
    <w:p w14:paraId="7D3736E9" w14:textId="77777777" w:rsidR="001B1A9B" w:rsidRDefault="001B1A9B" w:rsidP="000C2814">
      <w:pPr>
        <w:pStyle w:val="ListParagraph"/>
        <w:numPr>
          <w:ilvl w:val="0"/>
          <w:numId w:val="29"/>
        </w:numPr>
      </w:pPr>
      <w:r>
        <w:t>The “Board” has been replaced with “Members of the Trust”, to align with legislation.</w:t>
      </w:r>
    </w:p>
    <w:p w14:paraId="73CB328C" w14:textId="77777777" w:rsidR="001B1A9B" w:rsidRPr="000C2814" w:rsidRDefault="001B1A9B" w:rsidP="000C2814">
      <w:pPr>
        <w:pStyle w:val="ListParagraph"/>
        <w:numPr>
          <w:ilvl w:val="0"/>
          <w:numId w:val="27"/>
        </w:numPr>
        <w:rPr>
          <w:b/>
          <w:bCs/>
        </w:rPr>
      </w:pPr>
      <w:r w:rsidRPr="000C2814">
        <w:rPr>
          <w:b/>
          <w:bCs/>
        </w:rPr>
        <w:t>Leases and Licenses</w:t>
      </w:r>
    </w:p>
    <w:p w14:paraId="555F1733" w14:textId="77777777" w:rsidR="001B1A9B" w:rsidRPr="008628C4" w:rsidRDefault="001B1A9B" w:rsidP="000C2814">
      <w:pPr>
        <w:pStyle w:val="ListParagraph"/>
        <w:numPr>
          <w:ilvl w:val="0"/>
          <w:numId w:val="0"/>
        </w:numPr>
        <w:ind w:left="360"/>
      </w:pPr>
      <w:r>
        <w:t>L</w:t>
      </w:r>
      <w:r w:rsidRPr="008628C4">
        <w:t xml:space="preserve">easing of Premises, facilities and land </w:t>
      </w:r>
      <w:r>
        <w:t xml:space="preserve">as defined in the Leasing Policy </w:t>
      </w:r>
      <w:r w:rsidRPr="008628C4">
        <w:t>now includes licens</w:t>
      </w:r>
      <w:r>
        <w:t>ing.</w:t>
      </w:r>
    </w:p>
    <w:p w14:paraId="61F8B067" w14:textId="77777777" w:rsidR="001B1A9B" w:rsidRPr="000C2814" w:rsidRDefault="001B1A9B" w:rsidP="000C2814">
      <w:pPr>
        <w:pStyle w:val="ListParagraph"/>
        <w:numPr>
          <w:ilvl w:val="0"/>
          <w:numId w:val="27"/>
        </w:numPr>
        <w:rPr>
          <w:b/>
          <w:bCs/>
        </w:rPr>
      </w:pPr>
      <w:r w:rsidRPr="000C2814">
        <w:rPr>
          <w:b/>
          <w:bCs/>
        </w:rPr>
        <w:t xml:space="preserve">Conflict of Interest, Confidentiality and Security </w:t>
      </w:r>
    </w:p>
    <w:p w14:paraId="1C94532F" w14:textId="77777777" w:rsidR="001B1A9B" w:rsidRDefault="001B1A9B" w:rsidP="000C2814">
      <w:pPr>
        <w:pStyle w:val="ListParagraph"/>
        <w:numPr>
          <w:ilvl w:val="0"/>
          <w:numId w:val="0"/>
        </w:numPr>
        <w:ind w:left="360"/>
      </w:pPr>
      <w:r>
        <w:t>Policies around conflict of interest</w:t>
      </w:r>
      <w:r w:rsidRPr="00C6205C">
        <w:t xml:space="preserve"> </w:t>
      </w:r>
      <w:r>
        <w:t>(Leasing Policy 2022 section 2.3), c</w:t>
      </w:r>
      <w:r w:rsidRPr="002107AB">
        <w:t xml:space="preserve">onfidentiality </w:t>
      </w:r>
      <w:r>
        <w:t xml:space="preserve">(Leasing Policy 2022 section 2.4) </w:t>
      </w:r>
      <w:r w:rsidRPr="002107AB">
        <w:t xml:space="preserve">and </w:t>
      </w:r>
      <w:r>
        <w:t>s</w:t>
      </w:r>
      <w:r w:rsidRPr="002107AB">
        <w:t xml:space="preserve">ecurity </w:t>
      </w:r>
      <w:r>
        <w:t>(Leasing Policy 2022 section 2.3) have been drafted and included to ensure transparency and accountability.</w:t>
      </w:r>
    </w:p>
    <w:p w14:paraId="77AFFF0C" w14:textId="77777777" w:rsidR="000F636D" w:rsidRDefault="000F636D">
      <w:pPr>
        <w:spacing w:after="0" w:line="240" w:lineRule="auto"/>
        <w:rPr>
          <w:rFonts w:eastAsia="Calibri"/>
          <w:b/>
          <w:bCs/>
          <w:szCs w:val="22"/>
          <w:lang w:val="en-AU"/>
        </w:rPr>
      </w:pPr>
      <w:r>
        <w:rPr>
          <w:b/>
          <w:bCs/>
        </w:rPr>
        <w:br w:type="page"/>
      </w:r>
    </w:p>
    <w:p w14:paraId="41E459DD" w14:textId="155BA405" w:rsidR="001B1A9B" w:rsidRPr="000C2814" w:rsidRDefault="001B1A9B" w:rsidP="000C2814">
      <w:pPr>
        <w:pStyle w:val="ListParagraph"/>
        <w:numPr>
          <w:ilvl w:val="0"/>
          <w:numId w:val="27"/>
        </w:numPr>
        <w:rPr>
          <w:b/>
          <w:bCs/>
        </w:rPr>
      </w:pPr>
      <w:r w:rsidRPr="000C2814">
        <w:rPr>
          <w:b/>
          <w:bCs/>
        </w:rPr>
        <w:lastRenderedPageBreak/>
        <w:t xml:space="preserve">Rental Subsidy </w:t>
      </w:r>
    </w:p>
    <w:p w14:paraId="7058500C" w14:textId="77777777" w:rsidR="001B1A9B" w:rsidRDefault="001B1A9B" w:rsidP="000C2814">
      <w:pPr>
        <w:pStyle w:val="ListParagraph"/>
        <w:numPr>
          <w:ilvl w:val="0"/>
          <w:numId w:val="0"/>
        </w:numPr>
        <w:ind w:left="360"/>
      </w:pPr>
      <w:r>
        <w:t>The R</w:t>
      </w:r>
      <w:r w:rsidRPr="00C6205C">
        <w:t xml:space="preserve">ental </w:t>
      </w:r>
      <w:r>
        <w:t>S</w:t>
      </w:r>
      <w:r w:rsidRPr="00C6205C">
        <w:t>ubsid</w:t>
      </w:r>
      <w:r>
        <w:t xml:space="preserve">y Policy has now been included into the DLP 2022 for transparency and alignment of process. </w:t>
      </w:r>
    </w:p>
    <w:p w14:paraId="356BA919" w14:textId="77777777" w:rsidR="001B1A9B" w:rsidRPr="000C2814" w:rsidRDefault="001B1A9B" w:rsidP="000C2814">
      <w:pPr>
        <w:pStyle w:val="ListParagraph"/>
        <w:numPr>
          <w:ilvl w:val="0"/>
          <w:numId w:val="27"/>
        </w:numPr>
        <w:rPr>
          <w:b/>
          <w:bCs/>
        </w:rPr>
      </w:pPr>
      <w:r w:rsidRPr="000C2814">
        <w:rPr>
          <w:b/>
          <w:bCs/>
        </w:rPr>
        <w:t>Leasing Protocols</w:t>
      </w:r>
    </w:p>
    <w:p w14:paraId="7E42FE24" w14:textId="77777777" w:rsidR="001B1A9B" w:rsidRPr="00B264C8" w:rsidRDefault="001B1A9B" w:rsidP="000C2814">
      <w:pPr>
        <w:pStyle w:val="ListParagraph"/>
        <w:numPr>
          <w:ilvl w:val="0"/>
          <w:numId w:val="0"/>
        </w:numPr>
        <w:ind w:left="360"/>
      </w:pPr>
      <w:r>
        <w:t xml:space="preserve">The Harbour Trust has drafted and introduced </w:t>
      </w:r>
      <w:r w:rsidRPr="00B264C8">
        <w:t xml:space="preserve">Leasing Protocols </w:t>
      </w:r>
      <w:r>
        <w:t xml:space="preserve">as a separate document. Draft Leasing Protocols 2022 aligns with the Leasing Policy 2022 and outlines the </w:t>
      </w:r>
      <w:r w:rsidRPr="00B264C8">
        <w:t xml:space="preserve">process </w:t>
      </w:r>
      <w:r>
        <w:t xml:space="preserve">in full which assists in furthering </w:t>
      </w:r>
      <w:r w:rsidRPr="00B264C8">
        <w:t>transparency</w:t>
      </w:r>
      <w:r>
        <w:t xml:space="preserve"> of the leasing process for public interest and accountability</w:t>
      </w:r>
      <w:r w:rsidRPr="00B264C8">
        <w:t>.</w:t>
      </w:r>
    </w:p>
    <w:p w14:paraId="47CC64EB" w14:textId="77777777" w:rsidR="001B1A9B" w:rsidRPr="000C2814" w:rsidRDefault="001B1A9B" w:rsidP="000C2814">
      <w:pPr>
        <w:pStyle w:val="ListParagraph"/>
        <w:numPr>
          <w:ilvl w:val="0"/>
          <w:numId w:val="27"/>
        </w:numPr>
        <w:rPr>
          <w:b/>
          <w:bCs/>
        </w:rPr>
      </w:pPr>
      <w:r w:rsidRPr="000C2814">
        <w:rPr>
          <w:b/>
          <w:bCs/>
        </w:rPr>
        <w:t>First-time Leasing Opportunities</w:t>
      </w:r>
    </w:p>
    <w:p w14:paraId="074861C4" w14:textId="77777777" w:rsidR="001B1A9B" w:rsidRDefault="001B1A9B" w:rsidP="000C2814">
      <w:pPr>
        <w:pStyle w:val="ListParagraph"/>
        <w:numPr>
          <w:ilvl w:val="0"/>
          <w:numId w:val="0"/>
        </w:numPr>
        <w:ind w:left="360"/>
      </w:pPr>
      <w:r>
        <w:t xml:space="preserve">The </w:t>
      </w:r>
      <w:r w:rsidRPr="001F097E">
        <w:t>First</w:t>
      </w:r>
      <w:r>
        <w:t>-</w:t>
      </w:r>
      <w:r w:rsidRPr="001F097E">
        <w:t xml:space="preserve">Time Leasing definition </w:t>
      </w:r>
      <w:r>
        <w:t xml:space="preserve">(Leasing Policy 2022 section 5.1.1) has been amended to </w:t>
      </w:r>
      <w:r w:rsidRPr="001F097E">
        <w:t xml:space="preserve">include </w:t>
      </w:r>
      <w:r>
        <w:t xml:space="preserve">“Premises which are vacant and have not been offered to the market for </w:t>
      </w:r>
      <w:r w:rsidRPr="005E13A2">
        <w:t>a period in excess of ten years</w:t>
      </w:r>
      <w:r>
        <w:t>”</w:t>
      </w:r>
      <w:r w:rsidRPr="005E13A2">
        <w:t>.</w:t>
      </w:r>
      <w:r>
        <w:t xml:space="preserve"> This change has been included to meet Harbour Trust objectives and probity.</w:t>
      </w:r>
    </w:p>
    <w:p w14:paraId="4107DB4D" w14:textId="77777777" w:rsidR="001B1A9B" w:rsidRPr="000C4BE8" w:rsidRDefault="001B1A9B" w:rsidP="000C2814">
      <w:pPr>
        <w:pStyle w:val="ListParagraph"/>
        <w:numPr>
          <w:ilvl w:val="0"/>
          <w:numId w:val="27"/>
        </w:numPr>
      </w:pPr>
      <w:r w:rsidRPr="000C2814">
        <w:rPr>
          <w:b/>
          <w:bCs/>
        </w:rPr>
        <w:t>Competitive Applications</w:t>
      </w:r>
    </w:p>
    <w:p w14:paraId="6574FC67" w14:textId="77777777" w:rsidR="001B1A9B" w:rsidRPr="00B7728C" w:rsidRDefault="001B1A9B" w:rsidP="000C2814">
      <w:pPr>
        <w:pStyle w:val="ListParagraph"/>
        <w:numPr>
          <w:ilvl w:val="0"/>
          <w:numId w:val="0"/>
        </w:numPr>
        <w:ind w:left="360"/>
      </w:pPr>
      <w:r w:rsidRPr="00B7728C">
        <w:t xml:space="preserve">The </w:t>
      </w:r>
      <w:r>
        <w:t xml:space="preserve">Competitive Application </w:t>
      </w:r>
      <w:r w:rsidRPr="00B7728C">
        <w:t xml:space="preserve">Process elements have been </w:t>
      </w:r>
      <w:r>
        <w:t xml:space="preserve">omitted and </w:t>
      </w:r>
      <w:r w:rsidRPr="00B7728C">
        <w:t xml:space="preserve">transferred from the </w:t>
      </w:r>
      <w:r>
        <w:t>LP 2017</w:t>
      </w:r>
      <w:r w:rsidRPr="00B7728C">
        <w:t xml:space="preserve"> to </w:t>
      </w:r>
      <w:r>
        <w:t xml:space="preserve">Draft </w:t>
      </w:r>
      <w:r w:rsidRPr="00B7728C">
        <w:t xml:space="preserve">Leasing Protocols 2022 to improve clarity and purpose. </w:t>
      </w:r>
      <w:r>
        <w:t xml:space="preserve">The Competitive Application section has also been updated to reflect </w:t>
      </w:r>
      <w:r w:rsidRPr="00B7728C">
        <w:t>legislative changes for a Lease period more than 25 years</w:t>
      </w:r>
      <w:r>
        <w:t>, but</w:t>
      </w:r>
      <w:r w:rsidRPr="00B7728C">
        <w:t xml:space="preserve"> not longer than 35 years.</w:t>
      </w:r>
    </w:p>
    <w:p w14:paraId="324FB431" w14:textId="77777777" w:rsidR="001B1A9B" w:rsidRPr="00B7728C" w:rsidRDefault="001B1A9B" w:rsidP="000C2814">
      <w:pPr>
        <w:pStyle w:val="ListParagraph"/>
        <w:numPr>
          <w:ilvl w:val="0"/>
          <w:numId w:val="27"/>
        </w:numPr>
      </w:pPr>
      <w:r w:rsidRPr="000C2814">
        <w:rPr>
          <w:b/>
          <w:bCs/>
        </w:rPr>
        <w:t>Subsequent Leasing Opportunity</w:t>
      </w:r>
    </w:p>
    <w:p w14:paraId="36C0939E" w14:textId="77777777" w:rsidR="001B1A9B" w:rsidRPr="006F5A7C" w:rsidRDefault="001B1A9B" w:rsidP="000C2814">
      <w:pPr>
        <w:pStyle w:val="ListParagraph"/>
        <w:numPr>
          <w:ilvl w:val="0"/>
          <w:numId w:val="32"/>
        </w:numPr>
      </w:pPr>
      <w:r w:rsidRPr="006F5A7C">
        <w:t xml:space="preserve">The process elements have been omitted and transferred from the </w:t>
      </w:r>
      <w:r>
        <w:t>LP 2017</w:t>
      </w:r>
      <w:r w:rsidRPr="006F5A7C">
        <w:t xml:space="preserve"> to </w:t>
      </w:r>
      <w:r>
        <w:t xml:space="preserve">Draft </w:t>
      </w:r>
      <w:r w:rsidRPr="006F5A7C">
        <w:t xml:space="preserve">Leasing Protocols 2022 to improve clarity and purpose. </w:t>
      </w:r>
    </w:p>
    <w:p w14:paraId="14EBE9BF" w14:textId="77777777" w:rsidR="001B1A9B" w:rsidRPr="006F5A7C" w:rsidRDefault="001B1A9B" w:rsidP="000C2814">
      <w:pPr>
        <w:pStyle w:val="ListParagraph"/>
        <w:numPr>
          <w:ilvl w:val="0"/>
          <w:numId w:val="32"/>
        </w:numPr>
      </w:pPr>
      <w:r>
        <w:t>The “e</w:t>
      </w:r>
      <w:r w:rsidRPr="006F5A7C">
        <w:t>xception to Leasing Procedure</w:t>
      </w:r>
      <w:r>
        <w:t>”</w:t>
      </w:r>
      <w:r w:rsidRPr="006F5A7C">
        <w:t xml:space="preserve"> (section 7.1</w:t>
      </w:r>
      <w:r>
        <w:t xml:space="preserve"> of LP 2017</w:t>
      </w:r>
      <w:r w:rsidRPr="006F5A7C">
        <w:t xml:space="preserve">) has been removed, </w:t>
      </w:r>
      <w:proofErr w:type="gramStart"/>
      <w:r w:rsidRPr="006F5A7C">
        <w:t>redrafted</w:t>
      </w:r>
      <w:proofErr w:type="gramEnd"/>
      <w:r w:rsidRPr="006F5A7C">
        <w:t xml:space="preserve"> and included </w:t>
      </w:r>
      <w:r>
        <w:t>within Leasing Policy 2022 (</w:t>
      </w:r>
      <w:r w:rsidRPr="006F5A7C">
        <w:t xml:space="preserve">section 5.10 </w:t>
      </w:r>
      <w:r>
        <w:t>“</w:t>
      </w:r>
      <w:r w:rsidRPr="006F5A7C">
        <w:t>Unsolicited Proposals</w:t>
      </w:r>
      <w:r>
        <w:t>”)</w:t>
      </w:r>
      <w:r w:rsidRPr="006F5A7C">
        <w:t>.</w:t>
      </w:r>
    </w:p>
    <w:p w14:paraId="3972F398" w14:textId="77777777" w:rsidR="001B1A9B" w:rsidRPr="006F5A7C" w:rsidRDefault="001B1A9B" w:rsidP="000C2814">
      <w:pPr>
        <w:pStyle w:val="ListParagraph"/>
        <w:numPr>
          <w:ilvl w:val="0"/>
          <w:numId w:val="32"/>
        </w:numPr>
      </w:pPr>
      <w:r w:rsidRPr="006F5A7C">
        <w:t xml:space="preserve">To improve clarity and purpose, the process elements outlined in availability listings were transferred from </w:t>
      </w:r>
      <w:r>
        <w:t xml:space="preserve">LP 2017 </w:t>
      </w:r>
      <w:r w:rsidRPr="006F5A7C">
        <w:t xml:space="preserve">to </w:t>
      </w:r>
      <w:r>
        <w:t xml:space="preserve">Draft </w:t>
      </w:r>
      <w:r w:rsidRPr="006F5A7C">
        <w:t xml:space="preserve">Leasing Protocols 2022. </w:t>
      </w:r>
    </w:p>
    <w:p w14:paraId="09F7D255" w14:textId="77777777" w:rsidR="001B1A9B" w:rsidRPr="006F5A7C" w:rsidRDefault="001B1A9B" w:rsidP="000C2814">
      <w:pPr>
        <w:pStyle w:val="ListParagraph"/>
        <w:numPr>
          <w:ilvl w:val="0"/>
          <w:numId w:val="32"/>
        </w:numPr>
      </w:pPr>
      <w:r w:rsidRPr="006F5A7C">
        <w:t>The Availability Listing information requirements will now also include whether the Premises is subject to the Trust’s Rental Subsidy Policy (</w:t>
      </w:r>
      <w:r>
        <w:t xml:space="preserve">Leasing Policy 2022 </w:t>
      </w:r>
      <w:r w:rsidRPr="006F5A7C">
        <w:t>section 5.2.3(d)).</w:t>
      </w:r>
    </w:p>
    <w:p w14:paraId="034CBEA1" w14:textId="77777777" w:rsidR="001B1A9B" w:rsidRPr="006F5A7C" w:rsidRDefault="001B1A9B" w:rsidP="000C2814">
      <w:pPr>
        <w:pStyle w:val="ListParagraph"/>
        <w:numPr>
          <w:ilvl w:val="0"/>
          <w:numId w:val="32"/>
        </w:numPr>
      </w:pPr>
      <w:r>
        <w:t>Leasing Policy 2022 s</w:t>
      </w:r>
      <w:r w:rsidRPr="006F5A7C">
        <w:t xml:space="preserve">ections 5.2.7 and 5.2.8 have been included to outline the requirements of the Harbour Trust, when entering into </w:t>
      </w:r>
      <w:r>
        <w:t>S</w:t>
      </w:r>
      <w:r w:rsidRPr="006F5A7C">
        <w:t xml:space="preserve">ubsequent </w:t>
      </w:r>
      <w:r>
        <w:t>L</w:t>
      </w:r>
      <w:r w:rsidRPr="006F5A7C">
        <w:t xml:space="preserve">easing </w:t>
      </w:r>
      <w:r>
        <w:t>C</w:t>
      </w:r>
      <w:r w:rsidRPr="006F5A7C">
        <w:t xml:space="preserve">ompetitive </w:t>
      </w:r>
      <w:r>
        <w:t>A</w:t>
      </w:r>
      <w:r w:rsidRPr="006F5A7C">
        <w:t>pplication</w:t>
      </w:r>
      <w:r>
        <w:t>s</w:t>
      </w:r>
      <w:r w:rsidRPr="006F5A7C">
        <w:t>.</w:t>
      </w:r>
    </w:p>
    <w:p w14:paraId="713AA117" w14:textId="77777777" w:rsidR="001B1A9B" w:rsidRPr="000C2814" w:rsidRDefault="001B1A9B" w:rsidP="000C2814">
      <w:pPr>
        <w:pStyle w:val="ListParagraph"/>
        <w:numPr>
          <w:ilvl w:val="0"/>
          <w:numId w:val="27"/>
        </w:numPr>
        <w:rPr>
          <w:b/>
          <w:bCs/>
        </w:rPr>
      </w:pPr>
      <w:r w:rsidRPr="000C2814">
        <w:rPr>
          <w:b/>
          <w:bCs/>
        </w:rPr>
        <w:t xml:space="preserve">Open Leasing </w:t>
      </w:r>
    </w:p>
    <w:p w14:paraId="7142E9EF" w14:textId="77777777" w:rsidR="001B1A9B" w:rsidRDefault="001B1A9B" w:rsidP="000C2814">
      <w:pPr>
        <w:pStyle w:val="ListParagraph"/>
        <w:numPr>
          <w:ilvl w:val="0"/>
          <w:numId w:val="31"/>
        </w:numPr>
      </w:pPr>
      <w:r>
        <w:t>Leasing Policy 2022 Section 5.2.6 has been included for clarity, to offer an example of when a Subsequent Leasing Opportunity may be handled via the Open Leasing Process, as opposed to the Competitive Application Process.</w:t>
      </w:r>
    </w:p>
    <w:p w14:paraId="664F316D" w14:textId="53158FCC" w:rsidR="001B1A9B" w:rsidRDefault="000C2814" w:rsidP="000C2814">
      <w:pPr>
        <w:pStyle w:val="ListParagraph"/>
        <w:numPr>
          <w:ilvl w:val="0"/>
          <w:numId w:val="31"/>
        </w:numPr>
      </w:pPr>
      <w:r>
        <w:t>L</w:t>
      </w:r>
      <w:r w:rsidR="001B1A9B">
        <w:t>easing Policy 2022 Section 5.2.11 has been introduced to outline the assessment requirements for Open Leasing applications.</w:t>
      </w:r>
    </w:p>
    <w:p w14:paraId="4A2025CA" w14:textId="77777777" w:rsidR="000F636D" w:rsidRDefault="000F636D">
      <w:pPr>
        <w:spacing w:after="0" w:line="240" w:lineRule="auto"/>
        <w:rPr>
          <w:rFonts w:eastAsia="Calibri"/>
          <w:b/>
          <w:bCs/>
          <w:szCs w:val="22"/>
          <w:lang w:val="en-AU"/>
        </w:rPr>
      </w:pPr>
      <w:r>
        <w:rPr>
          <w:b/>
          <w:bCs/>
        </w:rPr>
        <w:br w:type="page"/>
      </w:r>
    </w:p>
    <w:p w14:paraId="24E3BCA9" w14:textId="35D86825" w:rsidR="001B1A9B" w:rsidRPr="000C2814" w:rsidRDefault="001B1A9B" w:rsidP="000C2814">
      <w:pPr>
        <w:pStyle w:val="ListParagraph"/>
        <w:numPr>
          <w:ilvl w:val="0"/>
          <w:numId w:val="27"/>
        </w:numPr>
        <w:rPr>
          <w:b/>
          <w:bCs/>
        </w:rPr>
      </w:pPr>
      <w:r w:rsidRPr="000C2814">
        <w:rPr>
          <w:b/>
          <w:bCs/>
        </w:rPr>
        <w:lastRenderedPageBreak/>
        <w:t>Lease Renewals</w:t>
      </w:r>
    </w:p>
    <w:p w14:paraId="4FC9769C" w14:textId="77777777" w:rsidR="001B1A9B" w:rsidRPr="006F5A7C" w:rsidRDefault="001B1A9B" w:rsidP="000C2814">
      <w:pPr>
        <w:pStyle w:val="ListParagraph"/>
        <w:numPr>
          <w:ilvl w:val="0"/>
          <w:numId w:val="34"/>
        </w:numPr>
      </w:pPr>
      <w:r w:rsidRPr="00523985">
        <w:t>The Lease Renewal definition (</w:t>
      </w:r>
      <w:r>
        <w:t xml:space="preserve">Leasing Policy 2022 </w:t>
      </w:r>
      <w:r w:rsidRPr="00523985">
        <w:t xml:space="preserve">section 5.3.1) now includes the words </w:t>
      </w:r>
      <w:r>
        <w:t>“</w:t>
      </w:r>
      <w:r w:rsidRPr="00523985">
        <w:t xml:space="preserve">subject to the </w:t>
      </w:r>
      <w:r w:rsidRPr="006F5A7C">
        <w:t>exercise of any option right under the lease</w:t>
      </w:r>
      <w:r>
        <w:t>”</w:t>
      </w:r>
      <w:r w:rsidRPr="006F5A7C">
        <w:t xml:space="preserve">, to align with legislative requirements and </w:t>
      </w:r>
      <w:r>
        <w:t xml:space="preserve">to </w:t>
      </w:r>
      <w:r w:rsidRPr="006F5A7C">
        <w:t xml:space="preserve">ensure lease options are accounted for within the original lease term. </w:t>
      </w:r>
    </w:p>
    <w:p w14:paraId="7ED828FE" w14:textId="77777777" w:rsidR="001B1A9B" w:rsidRPr="006F5A7C" w:rsidRDefault="001B1A9B" w:rsidP="000C2814">
      <w:pPr>
        <w:pStyle w:val="ListParagraph"/>
        <w:numPr>
          <w:ilvl w:val="0"/>
          <w:numId w:val="34"/>
        </w:numPr>
      </w:pPr>
      <w:r w:rsidRPr="006F5A7C">
        <w:t>The Renewal Request period has been extended from 12 months to 24 months (</w:t>
      </w:r>
      <w:r>
        <w:t xml:space="preserve">Leasing Policy 2022 </w:t>
      </w:r>
      <w:r w:rsidRPr="006F5A7C">
        <w:t>section 5.3.3). The extension of time will assist Tenants with their continuity plans.</w:t>
      </w:r>
    </w:p>
    <w:p w14:paraId="45A98ECF" w14:textId="77777777" w:rsidR="001B1A9B" w:rsidRPr="006F5A7C" w:rsidRDefault="001B1A9B" w:rsidP="000C2814">
      <w:pPr>
        <w:pStyle w:val="ListParagraph"/>
        <w:numPr>
          <w:ilvl w:val="0"/>
          <w:numId w:val="34"/>
        </w:numPr>
      </w:pPr>
      <w:r w:rsidRPr="006F5A7C">
        <w:t>Lease Renewal Considerations now include additional criteria (</w:t>
      </w:r>
      <w:r>
        <w:t xml:space="preserve">Leasing Policy 2022 </w:t>
      </w:r>
      <w:r w:rsidRPr="006F5A7C">
        <w:t>section 5.3.4 (J)), which specifies any negotiation must lead to best value along with meeting the Harbour Trust’s probity assessment. This addition has been introduced to ensure transparency and accountability of all Harbour Trust practices.</w:t>
      </w:r>
    </w:p>
    <w:p w14:paraId="14D882D4" w14:textId="77777777" w:rsidR="001B1A9B" w:rsidRPr="006F5A7C" w:rsidRDefault="001B1A9B" w:rsidP="000C2814">
      <w:pPr>
        <w:pStyle w:val="ListParagraph"/>
        <w:numPr>
          <w:ilvl w:val="0"/>
          <w:numId w:val="34"/>
        </w:numPr>
      </w:pPr>
      <w:r w:rsidRPr="006F5A7C">
        <w:t xml:space="preserve">The sentence regarding </w:t>
      </w:r>
      <w:bookmarkStart w:id="2" w:name="_Hlk104811975"/>
      <w:r w:rsidRPr="006F5A7C">
        <w:t xml:space="preserve">qualifying of applications </w:t>
      </w:r>
      <w:bookmarkEnd w:id="2"/>
      <w:r w:rsidRPr="006F5A7C">
        <w:t xml:space="preserve">has been omitted </w:t>
      </w:r>
      <w:r>
        <w:t xml:space="preserve">from LP 2017 </w:t>
      </w:r>
      <w:r w:rsidRPr="006F5A7C">
        <w:t>to avoid duplication.</w:t>
      </w:r>
    </w:p>
    <w:p w14:paraId="511FBA82" w14:textId="77777777" w:rsidR="001B1A9B" w:rsidRPr="006F5A7C" w:rsidRDefault="001B1A9B" w:rsidP="000C2814">
      <w:pPr>
        <w:pStyle w:val="ListParagraph"/>
        <w:numPr>
          <w:ilvl w:val="0"/>
          <w:numId w:val="34"/>
        </w:numPr>
      </w:pPr>
      <w:r w:rsidRPr="006F5A7C">
        <w:t>The length of time whereby the Harbour Trust will consider applications for new or extended leases, has been extended from 12 months to 24 months to assist with continuity plans (</w:t>
      </w:r>
      <w:r>
        <w:t xml:space="preserve">Leasing Policy 2022 </w:t>
      </w:r>
      <w:r w:rsidRPr="006F5A7C">
        <w:t>section 5.3.5).</w:t>
      </w:r>
    </w:p>
    <w:p w14:paraId="4942EF9B" w14:textId="77777777" w:rsidR="001B1A9B" w:rsidRDefault="001B1A9B" w:rsidP="000C2814">
      <w:pPr>
        <w:pStyle w:val="ListParagraph"/>
        <w:numPr>
          <w:ilvl w:val="0"/>
          <w:numId w:val="34"/>
        </w:numPr>
      </w:pPr>
      <w:r w:rsidRPr="006F5A7C">
        <w:t>Additional Provisions have</w:t>
      </w:r>
      <w:r>
        <w:t xml:space="preserve"> also</w:t>
      </w:r>
      <w:r w:rsidRPr="006F5A7C">
        <w:t xml:space="preserve"> been included for renewals involving Long-Term Tenants (</w:t>
      </w:r>
      <w:r>
        <w:t xml:space="preserve">Leasing Policy 2022 </w:t>
      </w:r>
      <w:r w:rsidRPr="006F5A7C">
        <w:t>sections 5.3.7 and 5.3.8) to satisfy legislative requirements.</w:t>
      </w:r>
    </w:p>
    <w:p w14:paraId="15FDADC3" w14:textId="77777777" w:rsidR="001B1A9B" w:rsidRPr="000C2814" w:rsidRDefault="001B1A9B" w:rsidP="000C2814">
      <w:pPr>
        <w:pStyle w:val="ListParagraph"/>
        <w:numPr>
          <w:ilvl w:val="0"/>
          <w:numId w:val="27"/>
        </w:numPr>
        <w:rPr>
          <w:b/>
          <w:bCs/>
        </w:rPr>
      </w:pPr>
      <w:r w:rsidRPr="000C2814">
        <w:rPr>
          <w:b/>
          <w:bCs/>
        </w:rPr>
        <w:t xml:space="preserve">Subleasing </w:t>
      </w:r>
    </w:p>
    <w:p w14:paraId="3FFFBE0C" w14:textId="77777777" w:rsidR="001B1A9B" w:rsidRDefault="001B1A9B" w:rsidP="000C2814">
      <w:pPr>
        <w:ind w:left="360"/>
      </w:pPr>
      <w:r w:rsidRPr="005C6021">
        <w:t>The Harbour Trust has introduced</w:t>
      </w:r>
      <w:r>
        <w:t xml:space="preserve"> Leasing Policy 2022 section 5.4, which contains </w:t>
      </w:r>
      <w:r w:rsidRPr="005C6021">
        <w:t>provisions around subleasing</w:t>
      </w:r>
      <w:r>
        <w:t xml:space="preserve">. These provisions have been included for clarity and </w:t>
      </w:r>
      <w:r w:rsidRPr="005C6021">
        <w:t>in response to the Independent Review recommendation 11.</w:t>
      </w:r>
    </w:p>
    <w:p w14:paraId="512AB2A4" w14:textId="77777777" w:rsidR="001B1A9B" w:rsidRPr="000C2814" w:rsidRDefault="001B1A9B" w:rsidP="000C2814">
      <w:pPr>
        <w:pStyle w:val="ListParagraph"/>
        <w:numPr>
          <w:ilvl w:val="0"/>
          <w:numId w:val="27"/>
        </w:numPr>
        <w:rPr>
          <w:b/>
          <w:bCs/>
        </w:rPr>
      </w:pPr>
      <w:r w:rsidRPr="000C2814">
        <w:rPr>
          <w:b/>
          <w:bCs/>
        </w:rPr>
        <w:t>Approval Of Leases Involving High Risk Arrangements</w:t>
      </w:r>
    </w:p>
    <w:p w14:paraId="6E142713" w14:textId="77777777" w:rsidR="001B1A9B" w:rsidRPr="008B66D3" w:rsidRDefault="001B1A9B" w:rsidP="000C2814">
      <w:pPr>
        <w:ind w:left="360"/>
      </w:pPr>
      <w:r w:rsidRPr="008B66D3">
        <w:t xml:space="preserve">The </w:t>
      </w:r>
      <w:r>
        <w:t>“</w:t>
      </w:r>
      <w:r w:rsidRPr="008B66D3">
        <w:t>High risk arrangement</w:t>
      </w:r>
      <w:r>
        <w:t>”</w:t>
      </w:r>
      <w:r w:rsidRPr="008B66D3">
        <w:t xml:space="preserve"> criteria have been amended to include leases of more than 25 years, and not longer than 35 years in accordance with revised legislative requirements (</w:t>
      </w:r>
      <w:r>
        <w:t xml:space="preserve">Leasing Policy 2022 </w:t>
      </w:r>
      <w:r w:rsidRPr="008B66D3">
        <w:t>section 5.5.2(d)).</w:t>
      </w:r>
    </w:p>
    <w:p w14:paraId="162BFA84" w14:textId="77777777" w:rsidR="001B1A9B" w:rsidRDefault="001B1A9B" w:rsidP="000C2814">
      <w:pPr>
        <w:ind w:left="360"/>
      </w:pPr>
      <w:r w:rsidRPr="00B7728C">
        <w:t xml:space="preserve">The </w:t>
      </w:r>
      <w:r>
        <w:t>p</w:t>
      </w:r>
      <w:r w:rsidRPr="00B7728C">
        <w:t xml:space="preserve">rocess elements have been </w:t>
      </w:r>
      <w:r>
        <w:t xml:space="preserve">omitted and </w:t>
      </w:r>
      <w:r w:rsidRPr="00B7728C">
        <w:t xml:space="preserve">transferred from </w:t>
      </w:r>
      <w:r>
        <w:t xml:space="preserve">LP 2017 </w:t>
      </w:r>
      <w:r w:rsidRPr="00B7728C">
        <w:t xml:space="preserve">to </w:t>
      </w:r>
      <w:r>
        <w:t xml:space="preserve">Draft </w:t>
      </w:r>
      <w:r w:rsidRPr="00B7728C">
        <w:t>Leasing Protocols 2022 to improve clarity and purpose</w:t>
      </w:r>
      <w:r>
        <w:t>.</w:t>
      </w:r>
    </w:p>
    <w:p w14:paraId="3036621C" w14:textId="77777777" w:rsidR="001B1A9B" w:rsidRDefault="001B1A9B" w:rsidP="000C2814">
      <w:pPr>
        <w:ind w:left="360"/>
      </w:pPr>
      <w:r>
        <w:t xml:space="preserve">Leases over $1m (LP 2017 section 10.2) and Term Thresholds (LP 2017 section 10.3) have been omitted as no longer in line with the </w:t>
      </w:r>
      <w:r w:rsidRPr="000C2814">
        <w:rPr>
          <w:i/>
          <w:iCs/>
        </w:rPr>
        <w:t>Act</w:t>
      </w:r>
      <w:r>
        <w:t xml:space="preserve">. </w:t>
      </w:r>
    </w:p>
    <w:p w14:paraId="169DB811" w14:textId="77777777" w:rsidR="001B1A9B" w:rsidRPr="000C2814" w:rsidRDefault="001B1A9B" w:rsidP="000C2814">
      <w:pPr>
        <w:pStyle w:val="ListParagraph"/>
        <w:numPr>
          <w:ilvl w:val="0"/>
          <w:numId w:val="27"/>
        </w:numPr>
        <w:rPr>
          <w:b/>
          <w:bCs/>
        </w:rPr>
      </w:pPr>
      <w:r w:rsidRPr="000C2814">
        <w:rPr>
          <w:b/>
          <w:bCs/>
        </w:rPr>
        <w:t>Leases Longer Than 25 Years, but not Longer Than 35 Years</w:t>
      </w:r>
    </w:p>
    <w:p w14:paraId="3D61B8ED" w14:textId="77777777" w:rsidR="000C2814" w:rsidRDefault="001B1A9B" w:rsidP="000C2814">
      <w:pPr>
        <w:ind w:left="360"/>
      </w:pPr>
      <w:r w:rsidRPr="005C6021">
        <w:t>The Harbour Trust has introduced</w:t>
      </w:r>
      <w:r>
        <w:t xml:space="preserve"> section 5.6 within the Leasing Policy 2022 and section 6 within the Draft Leasing Protocols 2022, which contain policy and process</w:t>
      </w:r>
      <w:r w:rsidRPr="005C6021">
        <w:t xml:space="preserve"> around </w:t>
      </w:r>
      <w:r>
        <w:t xml:space="preserve">leases </w:t>
      </w:r>
      <w:r w:rsidRPr="00176EF7">
        <w:t xml:space="preserve">longer than 25 years, and not longer than 35 years </w:t>
      </w:r>
      <w:r>
        <w:t xml:space="preserve">to align with the revised </w:t>
      </w:r>
      <w:r w:rsidRPr="000C2814">
        <w:rPr>
          <w:i/>
          <w:iCs/>
        </w:rPr>
        <w:t>Act</w:t>
      </w:r>
      <w:r>
        <w:t>.</w:t>
      </w:r>
    </w:p>
    <w:p w14:paraId="67BCE556" w14:textId="77777777" w:rsidR="000F636D" w:rsidRDefault="000F636D">
      <w:pPr>
        <w:spacing w:after="0" w:line="240" w:lineRule="auto"/>
        <w:rPr>
          <w:rFonts w:eastAsia="Calibri"/>
          <w:b/>
          <w:bCs/>
          <w:szCs w:val="22"/>
          <w:lang w:val="en-AU"/>
        </w:rPr>
      </w:pPr>
      <w:r>
        <w:rPr>
          <w:b/>
          <w:bCs/>
        </w:rPr>
        <w:br w:type="page"/>
      </w:r>
    </w:p>
    <w:p w14:paraId="7D828E04" w14:textId="4E5681C3" w:rsidR="001B1A9B" w:rsidRPr="000C2814" w:rsidRDefault="001B1A9B" w:rsidP="000C2814">
      <w:pPr>
        <w:pStyle w:val="ListParagraph"/>
        <w:numPr>
          <w:ilvl w:val="0"/>
          <w:numId w:val="27"/>
        </w:numPr>
      </w:pPr>
      <w:r w:rsidRPr="000C2814">
        <w:rPr>
          <w:b/>
          <w:bCs/>
        </w:rPr>
        <w:lastRenderedPageBreak/>
        <w:t>Leases Longer Than 35 Years</w:t>
      </w:r>
    </w:p>
    <w:p w14:paraId="148F229F" w14:textId="77777777" w:rsidR="001B1A9B" w:rsidRDefault="001B1A9B" w:rsidP="000C2814">
      <w:pPr>
        <w:ind w:left="360"/>
      </w:pPr>
      <w:r w:rsidRPr="005C6021">
        <w:t>The Harbour Trust has introduced</w:t>
      </w:r>
      <w:r>
        <w:t xml:space="preserve"> section 5.7 within the Leasing Policy 2022 and section 7 within the Leasing Protocols 2022, to make it clear that l</w:t>
      </w:r>
      <w:r w:rsidRPr="00B41323">
        <w:t xml:space="preserve">eases longer than 35 years are not permitted, under the revised </w:t>
      </w:r>
      <w:r w:rsidRPr="000C2814">
        <w:rPr>
          <w:i/>
          <w:iCs/>
        </w:rPr>
        <w:t>Act</w:t>
      </w:r>
      <w:r w:rsidRPr="00B41323">
        <w:t>.</w:t>
      </w:r>
      <w:r>
        <w:t xml:space="preserve"> </w:t>
      </w:r>
    </w:p>
    <w:p w14:paraId="12EEE6AE" w14:textId="77777777" w:rsidR="001B1A9B" w:rsidRPr="000C2814" w:rsidRDefault="001B1A9B" w:rsidP="000C2814">
      <w:pPr>
        <w:pStyle w:val="ListParagraph"/>
        <w:numPr>
          <w:ilvl w:val="0"/>
          <w:numId w:val="27"/>
        </w:numPr>
        <w:rPr>
          <w:b/>
          <w:bCs/>
        </w:rPr>
      </w:pPr>
      <w:r w:rsidRPr="000C2814">
        <w:rPr>
          <w:b/>
          <w:bCs/>
        </w:rPr>
        <w:t xml:space="preserve">External Approvals Required </w:t>
      </w:r>
      <w:proofErr w:type="gramStart"/>
      <w:r w:rsidRPr="000C2814">
        <w:rPr>
          <w:b/>
          <w:bCs/>
        </w:rPr>
        <w:t>For</w:t>
      </w:r>
      <w:proofErr w:type="gramEnd"/>
      <w:r w:rsidRPr="000C2814">
        <w:rPr>
          <w:b/>
          <w:bCs/>
        </w:rPr>
        <w:t xml:space="preserve"> Long Term And High Value Leases</w:t>
      </w:r>
    </w:p>
    <w:p w14:paraId="7214507D" w14:textId="77777777" w:rsidR="001B1A9B" w:rsidRDefault="001B1A9B" w:rsidP="000C2814">
      <w:pPr>
        <w:ind w:left="360"/>
      </w:pPr>
      <w:r w:rsidRPr="005C6021">
        <w:t>The Harbour Trust has introduced</w:t>
      </w:r>
      <w:r>
        <w:t xml:space="preserve"> Leasing Policy 2022 section 5.8 to address external approvals for long term and high value leases in accordance with revised legislative requirements. The processes around approvals of long term and high value leases, including the revised threshold of $5 million have been outlined further in section 8 of the Leasing Protocols 2022.</w:t>
      </w:r>
    </w:p>
    <w:p w14:paraId="6A39D155" w14:textId="77777777" w:rsidR="001B1A9B" w:rsidRPr="000C2814" w:rsidRDefault="001B1A9B" w:rsidP="000C2814">
      <w:pPr>
        <w:pStyle w:val="ListParagraph"/>
        <w:numPr>
          <w:ilvl w:val="0"/>
          <w:numId w:val="27"/>
        </w:numPr>
        <w:rPr>
          <w:b/>
          <w:bCs/>
        </w:rPr>
      </w:pPr>
      <w:r w:rsidRPr="000C2814">
        <w:rPr>
          <w:b/>
          <w:bCs/>
        </w:rPr>
        <w:t>Unsolicited Proposals</w:t>
      </w:r>
    </w:p>
    <w:p w14:paraId="4720976D" w14:textId="77777777" w:rsidR="001B1A9B" w:rsidRDefault="001B1A9B" w:rsidP="000C2814">
      <w:pPr>
        <w:ind w:left="360"/>
      </w:pPr>
      <w:r w:rsidRPr="005C6021">
        <w:t>The Harbour Trust has introduced</w:t>
      </w:r>
      <w:r>
        <w:t xml:space="preserve"> Leasing Policy 2022 section 5.10 to outline the eligibility criteria, </w:t>
      </w:r>
      <w:proofErr w:type="gramStart"/>
      <w:r>
        <w:t>policy</w:t>
      </w:r>
      <w:proofErr w:type="gramEnd"/>
      <w:r>
        <w:t xml:space="preserve"> and process around unsolicited proposals.</w:t>
      </w:r>
    </w:p>
    <w:p w14:paraId="58399996" w14:textId="77777777" w:rsidR="001B1A9B" w:rsidRPr="000C2814" w:rsidRDefault="001B1A9B" w:rsidP="000C2814">
      <w:pPr>
        <w:pStyle w:val="ListParagraph"/>
        <w:numPr>
          <w:ilvl w:val="0"/>
          <w:numId w:val="27"/>
        </w:numPr>
        <w:rPr>
          <w:b/>
          <w:bCs/>
        </w:rPr>
      </w:pPr>
      <w:r w:rsidRPr="000C2814">
        <w:rPr>
          <w:b/>
          <w:bCs/>
        </w:rPr>
        <w:t>Short Term Leases</w:t>
      </w:r>
    </w:p>
    <w:p w14:paraId="34C5F386" w14:textId="77777777" w:rsidR="001B1A9B" w:rsidRPr="00CD4202" w:rsidRDefault="001B1A9B" w:rsidP="000C2814">
      <w:pPr>
        <w:ind w:left="360"/>
      </w:pPr>
      <w:r>
        <w:t>An additional provision has been added (Leasing Policy 2022 section 5.9.2) to allow the Harbour Trust’s E</w:t>
      </w:r>
      <w:r w:rsidRPr="00E80AA1">
        <w:t xml:space="preserve">xecutive </w:t>
      </w:r>
      <w:r>
        <w:t>D</w:t>
      </w:r>
      <w:r w:rsidRPr="00E80AA1">
        <w:t>irector to approve meanwhile uses</w:t>
      </w:r>
      <w:r>
        <w:t xml:space="preserve"> (</w:t>
      </w:r>
      <w:r w:rsidRPr="00E80AA1">
        <w:t>3 years or less</w:t>
      </w:r>
      <w:r>
        <w:t xml:space="preserve"> in</w:t>
      </w:r>
      <w:r w:rsidRPr="00E80AA1">
        <w:t xml:space="preserve"> duration</w:t>
      </w:r>
      <w:r>
        <w:t xml:space="preserve">), to allow for </w:t>
      </w:r>
      <w:proofErr w:type="spellStart"/>
      <w:r w:rsidRPr="000C2814">
        <w:rPr>
          <w:rFonts w:cstheme="minorHAnsi"/>
        </w:rPr>
        <w:t>utilisation</w:t>
      </w:r>
      <w:proofErr w:type="spellEnd"/>
      <w:r w:rsidRPr="000C2814">
        <w:rPr>
          <w:rFonts w:cstheme="minorHAnsi"/>
        </w:rPr>
        <w:t xml:space="preserve"> of vacant premises during a period until they are bought back into leasable stock.</w:t>
      </w:r>
    </w:p>
    <w:p w14:paraId="374FC2BE" w14:textId="77777777" w:rsidR="001B1A9B" w:rsidRPr="000265A3" w:rsidRDefault="001B1A9B" w:rsidP="000C2814">
      <w:r w:rsidRPr="000265A3">
        <w:t xml:space="preserve">In addition to above, the Harbour Trust has made </w:t>
      </w:r>
      <w:proofErr w:type="gramStart"/>
      <w:r>
        <w:t>a number of</w:t>
      </w:r>
      <w:proofErr w:type="gramEnd"/>
      <w:r>
        <w:t xml:space="preserve"> </w:t>
      </w:r>
      <w:r w:rsidRPr="000265A3">
        <w:t>general amendments</w:t>
      </w:r>
      <w:r>
        <w:t xml:space="preserve"> to improve readability and consistency which include</w:t>
      </w:r>
      <w:r w:rsidRPr="000265A3">
        <w:t>:</w:t>
      </w:r>
    </w:p>
    <w:p w14:paraId="09EECDD7" w14:textId="77777777" w:rsidR="001B1A9B" w:rsidRPr="00190492" w:rsidRDefault="001B1A9B" w:rsidP="00190492">
      <w:pPr>
        <w:pStyle w:val="ListParagraph"/>
        <w:numPr>
          <w:ilvl w:val="0"/>
          <w:numId w:val="39"/>
        </w:numPr>
        <w:rPr>
          <w:rFonts w:eastAsia="Times New Roman"/>
        </w:rPr>
      </w:pPr>
      <w:r w:rsidRPr="00190492">
        <w:rPr>
          <w:rFonts w:eastAsia="Times New Roman"/>
        </w:rPr>
        <w:t xml:space="preserve">The inclusion of a numbering system to aid in </w:t>
      </w:r>
      <w:proofErr w:type="gramStart"/>
      <w:r w:rsidRPr="00190492">
        <w:rPr>
          <w:rFonts w:eastAsia="Times New Roman"/>
        </w:rPr>
        <w:t>referencing;</w:t>
      </w:r>
      <w:proofErr w:type="gramEnd"/>
    </w:p>
    <w:p w14:paraId="295B6A47" w14:textId="77777777" w:rsidR="001B1A9B" w:rsidRDefault="001B1A9B" w:rsidP="00190492">
      <w:pPr>
        <w:pStyle w:val="ListParagraph"/>
        <w:numPr>
          <w:ilvl w:val="0"/>
          <w:numId w:val="39"/>
        </w:numPr>
      </w:pPr>
      <w:r>
        <w:t>G</w:t>
      </w:r>
      <w:r w:rsidRPr="003D5579">
        <w:t xml:space="preserve">eneral amendments </w:t>
      </w:r>
      <w:r>
        <w:t xml:space="preserve">to </w:t>
      </w:r>
      <w:r w:rsidRPr="003D5579">
        <w:t xml:space="preserve">wording </w:t>
      </w:r>
      <w:r>
        <w:t xml:space="preserve">for clarity and consistency of </w:t>
      </w:r>
      <w:proofErr w:type="gramStart"/>
      <w:r>
        <w:t>terminology;</w:t>
      </w:r>
      <w:proofErr w:type="gramEnd"/>
    </w:p>
    <w:p w14:paraId="3308EFF9" w14:textId="77777777" w:rsidR="001B1A9B" w:rsidRPr="00BD6F56" w:rsidRDefault="001B1A9B" w:rsidP="00190492">
      <w:pPr>
        <w:pStyle w:val="ListParagraph"/>
        <w:numPr>
          <w:ilvl w:val="0"/>
          <w:numId w:val="39"/>
        </w:numPr>
      </w:pPr>
      <w:r>
        <w:t>G</w:t>
      </w:r>
      <w:r w:rsidRPr="003D5579">
        <w:t xml:space="preserve">eneral amendments </w:t>
      </w:r>
      <w:r>
        <w:t xml:space="preserve">to </w:t>
      </w:r>
      <w:r w:rsidRPr="003D5579">
        <w:t>grammar</w:t>
      </w:r>
      <w:r>
        <w:t xml:space="preserve"> which </w:t>
      </w:r>
      <w:r w:rsidRPr="003D5579">
        <w:t>eas</w:t>
      </w:r>
      <w:r>
        <w:t>es</w:t>
      </w:r>
      <w:r w:rsidRPr="003D5579">
        <w:t xml:space="preserve"> readability, </w:t>
      </w:r>
      <w:proofErr w:type="gramStart"/>
      <w:r w:rsidRPr="003D5579">
        <w:t>legibility</w:t>
      </w:r>
      <w:proofErr w:type="gramEnd"/>
      <w:r w:rsidRPr="003D5579">
        <w:t xml:space="preserve"> and transparency</w:t>
      </w:r>
      <w:r>
        <w:t xml:space="preserve">; </w:t>
      </w:r>
      <w:r w:rsidRPr="00BD6F56">
        <w:t>and</w:t>
      </w:r>
    </w:p>
    <w:p w14:paraId="78EAF68D" w14:textId="77777777" w:rsidR="001B1A9B" w:rsidRPr="003D5579" w:rsidRDefault="001B1A9B" w:rsidP="00190492">
      <w:pPr>
        <w:pStyle w:val="ListParagraph"/>
        <w:numPr>
          <w:ilvl w:val="0"/>
          <w:numId w:val="39"/>
        </w:numPr>
      </w:pPr>
      <w:r>
        <w:t>T</w:t>
      </w:r>
      <w:r w:rsidRPr="003D5579">
        <w:t xml:space="preserve">ransfer </w:t>
      </w:r>
      <w:r>
        <w:t xml:space="preserve">of process provisions from </w:t>
      </w:r>
      <w:r w:rsidRPr="003D5579">
        <w:t>the Leasing Policy to the Protocols Policy</w:t>
      </w:r>
      <w:r>
        <w:t>,</w:t>
      </w:r>
      <w:r w:rsidRPr="003D5579">
        <w:t xml:space="preserve"> to streamline </w:t>
      </w:r>
      <w:r>
        <w:t xml:space="preserve">and reinforce each </w:t>
      </w:r>
      <w:r w:rsidRPr="003D5579">
        <w:t>polic</w:t>
      </w:r>
      <w:r>
        <w:t>y’s purpose</w:t>
      </w:r>
      <w:r w:rsidRPr="003D5579">
        <w:t>.</w:t>
      </w:r>
    </w:p>
    <w:p w14:paraId="690169EB" w14:textId="77777777" w:rsidR="001B1A9B" w:rsidRPr="00125EAE" w:rsidRDefault="001B1A9B" w:rsidP="001B1A9B">
      <w:pPr>
        <w:spacing w:after="0" w:line="360" w:lineRule="atLeast"/>
      </w:pPr>
    </w:p>
    <w:p w14:paraId="2853AA7F" w14:textId="77777777" w:rsidR="001B1A9B" w:rsidRDefault="001B1A9B" w:rsidP="001B1A9B">
      <w:pPr>
        <w:rPr>
          <w:rFonts w:asciiTheme="majorHAnsi" w:eastAsiaTheme="majorEastAsia" w:hAnsiTheme="majorHAnsi" w:cstheme="majorBidi"/>
          <w:color w:val="1A92A7" w:themeColor="accent1" w:themeShade="BF"/>
          <w:sz w:val="32"/>
          <w:szCs w:val="32"/>
        </w:rPr>
      </w:pPr>
      <w:r>
        <w:br w:type="page"/>
      </w:r>
    </w:p>
    <w:sectPr w:rsidR="001B1A9B" w:rsidSect="00EC7153">
      <w:headerReference w:type="even" r:id="rId11"/>
      <w:headerReference w:type="first" r:id="rId12"/>
      <w:footerReference w:type="first" r:id="rId13"/>
      <w:pgSz w:w="11906" w:h="16838" w:code="9"/>
      <w:pgMar w:top="1701" w:right="1276" w:bottom="1276"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altName w:val="Calibri"/>
    <w:charset w:val="00"/>
    <w:family w:val="auto"/>
    <w:pitch w:val="variable"/>
    <w:sig w:usb0="00000001"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ational Light">
    <w:altName w:val="Calibri"/>
    <w:panose1 w:val="00000000000000000000"/>
    <w:charset w:val="00"/>
    <w:family w:val="modern"/>
    <w:notTrueType/>
    <w:pitch w:val="variable"/>
    <w:sig w:usb0="A10000FF" w:usb1="5001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481238087"/>
      <w:docPartObj>
        <w:docPartGallery w:val="Page Numbers (Bottom of Page)"/>
        <w:docPartUnique/>
      </w:docPartObj>
    </w:sdtPr>
    <w:sdtEndPr>
      <w:rPr>
        <w:noProof/>
      </w:rPr>
    </w:sdtEndPr>
    <w:sdtContent>
      <w:p w14:paraId="4F9E1BAD" w14:textId="0BBE5146"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p>
      <w:p w14:paraId="4F9E1BAE" w14:textId="1F409A50" w:rsidR="00F77D2E" w:rsidRPr="00F77D2E" w:rsidRDefault="00D43033" w:rsidP="00A80149">
        <w:pPr>
          <w:tabs>
            <w:tab w:val="center" w:pos="4320"/>
            <w:tab w:val="right" w:pos="8640"/>
          </w:tabs>
          <w:spacing w:after="60" w:line="240" w:lineRule="auto"/>
          <w:jc w:val="center"/>
          <w:rPr>
            <w:rFonts w:ascii="Calibri" w:eastAsia="MS Mincho" w:hAnsi="Calibri"/>
            <w:noProof/>
          </w:rPr>
        </w:pP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77777777" w:rsidR="00705ADA" w:rsidRDefault="00395AA1" w:rsidP="00E45765">
    <w:pPr>
      <w:pStyle w:val="Classification"/>
    </w:pPr>
    <w:r>
      <w:fldChar w:fldCharType="begin"/>
    </w:r>
    <w:r w:rsidR="00705ADA">
      <w:instrText xml:space="preserve"> DOCPROPERTY SecurityClassification \* MERGEFORMAT </w:instrText>
    </w:r>
    <w:r>
      <w:fldChar w:fldCharType="separate"/>
    </w:r>
    <w:r w:rsidR="0021773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36B3A1DE" w:rsidR="00705ADA" w:rsidRDefault="00EC7153">
    <w:pPr>
      <w:pStyle w:val="Header"/>
    </w:pPr>
    <w:r>
      <w:rPr>
        <w:noProof/>
        <w:lang w:eastAsia="en-AU"/>
      </w:rPr>
      <w:drawing>
        <wp:anchor distT="0" distB="0" distL="114300" distR="114300" simplePos="0" relativeHeight="251661312" behindDoc="0" locked="0" layoutInCell="1" allowOverlap="1" wp14:anchorId="24559E30" wp14:editId="3F504501">
          <wp:simplePos x="0" y="0"/>
          <wp:positionH relativeFrom="margin">
            <wp:align>center</wp:align>
          </wp:positionH>
          <wp:positionV relativeFrom="paragraph">
            <wp:posOffset>-286385</wp:posOffset>
          </wp:positionV>
          <wp:extent cx="7586980" cy="21812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9C5C6F"/>
    <w:multiLevelType w:val="hybridMultilevel"/>
    <w:tmpl w:val="9F3C65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A919BE"/>
    <w:multiLevelType w:val="hybridMultilevel"/>
    <w:tmpl w:val="EA92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B3DA0"/>
    <w:multiLevelType w:val="hybridMultilevel"/>
    <w:tmpl w:val="50BCC9D0"/>
    <w:lvl w:ilvl="0" w:tplc="E90C14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234619"/>
    <w:multiLevelType w:val="hybridMultilevel"/>
    <w:tmpl w:val="0338EAFE"/>
    <w:lvl w:ilvl="0" w:tplc="0C090017">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15:restartNumberingAfterBreak="0">
    <w:nsid w:val="15A813E1"/>
    <w:multiLevelType w:val="hybridMultilevel"/>
    <w:tmpl w:val="9002138C"/>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178B59A7"/>
    <w:multiLevelType w:val="hybridMultilevel"/>
    <w:tmpl w:val="50BCC9D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151228"/>
    <w:multiLevelType w:val="hybridMultilevel"/>
    <w:tmpl w:val="33768796"/>
    <w:lvl w:ilvl="0" w:tplc="8782F4E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745BC2"/>
    <w:multiLevelType w:val="multilevel"/>
    <w:tmpl w:val="E5E89F92"/>
    <w:numStyleLink w:val="BulletList"/>
  </w:abstractNum>
  <w:abstractNum w:abstractNumId="9" w15:restartNumberingAfterBreak="0">
    <w:nsid w:val="21AE52C0"/>
    <w:multiLevelType w:val="hybridMultilevel"/>
    <w:tmpl w:val="AC9C5B2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123A65"/>
    <w:multiLevelType w:val="hybridMultilevel"/>
    <w:tmpl w:val="F45CF3E4"/>
    <w:lvl w:ilvl="0" w:tplc="0C090001">
      <w:start w:val="1"/>
      <w:numFmt w:val="bullet"/>
      <w:lvlText w:val=""/>
      <w:lvlJc w:val="left"/>
      <w:pPr>
        <w:ind w:left="720" w:hanging="360"/>
      </w:pPr>
      <w:rPr>
        <w:rFonts w:ascii="Symbol" w:hAnsi="Symbol"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E315D"/>
    <w:multiLevelType w:val="hybridMultilevel"/>
    <w:tmpl w:val="DCF2EE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3D1FDF"/>
    <w:multiLevelType w:val="hybridMultilevel"/>
    <w:tmpl w:val="9ABEEC5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772BF8"/>
    <w:multiLevelType w:val="hybridMultilevel"/>
    <w:tmpl w:val="1D1AE1EE"/>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6C2289"/>
    <w:multiLevelType w:val="hybridMultilevel"/>
    <w:tmpl w:val="B7C8E170"/>
    <w:lvl w:ilvl="0" w:tplc="348407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391899"/>
    <w:multiLevelType w:val="hybridMultilevel"/>
    <w:tmpl w:val="ACFE3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434DE6"/>
    <w:multiLevelType w:val="hybridMultilevel"/>
    <w:tmpl w:val="7DDA9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515450"/>
    <w:multiLevelType w:val="hybridMultilevel"/>
    <w:tmpl w:val="7BBA143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F6052E"/>
    <w:multiLevelType w:val="hybridMultilevel"/>
    <w:tmpl w:val="6B24C724"/>
    <w:lvl w:ilvl="0" w:tplc="1026E8E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4C3772"/>
    <w:multiLevelType w:val="hybridMultilevel"/>
    <w:tmpl w:val="1DF6DEF0"/>
    <w:lvl w:ilvl="0" w:tplc="17B6EEA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40734F"/>
    <w:multiLevelType w:val="hybridMultilevel"/>
    <w:tmpl w:val="B73CF1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5607116C"/>
    <w:multiLevelType w:val="hybridMultilevel"/>
    <w:tmpl w:val="A7120984"/>
    <w:lvl w:ilvl="0" w:tplc="79066DD4">
      <w:start w:val="1"/>
      <w:numFmt w:val="lowerLetter"/>
      <w:lvlText w:val="%1."/>
      <w:lvlJc w:val="left"/>
      <w:pPr>
        <w:ind w:left="720" w:hanging="360"/>
      </w:pPr>
      <w:rPr>
        <w:rFonts w:asciiTheme="minorHAnsi" w:eastAsiaTheme="minorHAnsi" w:hAnsiTheme="minorHAnsi" w:cstheme="minorBidi"/>
        <w:b w:val="0"/>
        <w:bCs w:val="0"/>
      </w:rPr>
    </w:lvl>
    <w:lvl w:ilvl="1" w:tplc="E20807E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832E1D"/>
    <w:multiLevelType w:val="hybridMultilevel"/>
    <w:tmpl w:val="A4B65AFC"/>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E33358"/>
    <w:multiLevelType w:val="hybridMultilevel"/>
    <w:tmpl w:val="34FAE6C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F973C8"/>
    <w:multiLevelType w:val="hybridMultilevel"/>
    <w:tmpl w:val="2410DF7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DD73D7F"/>
    <w:multiLevelType w:val="hybridMultilevel"/>
    <w:tmpl w:val="D8BAE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456429"/>
    <w:multiLevelType w:val="multilevel"/>
    <w:tmpl w:val="E898CC72"/>
    <w:numStyleLink w:val="KeyPoints"/>
  </w:abstractNum>
  <w:abstractNum w:abstractNumId="29" w15:restartNumberingAfterBreak="0">
    <w:nsid w:val="657B76C2"/>
    <w:multiLevelType w:val="hybridMultilevel"/>
    <w:tmpl w:val="8304913C"/>
    <w:lvl w:ilvl="0" w:tplc="C76AE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0D52F7"/>
    <w:multiLevelType w:val="hybridMultilevel"/>
    <w:tmpl w:val="9E105C8E"/>
    <w:lvl w:ilvl="0" w:tplc="10DC1990">
      <w:start w:val="1"/>
      <w:numFmt w:val="lowerRoman"/>
      <w:lvlText w:val="%1."/>
      <w:lvlJc w:val="left"/>
      <w:pPr>
        <w:ind w:left="1080" w:hanging="72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35273F"/>
    <w:multiLevelType w:val="hybridMultilevel"/>
    <w:tmpl w:val="C7F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FD5F1B"/>
    <w:multiLevelType w:val="hybridMultilevel"/>
    <w:tmpl w:val="E43C5F4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5" w15:restartNumberingAfterBreak="0">
    <w:nsid w:val="7C021EC8"/>
    <w:multiLevelType w:val="hybridMultilevel"/>
    <w:tmpl w:val="26107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C6564E"/>
    <w:multiLevelType w:val="hybridMultilevel"/>
    <w:tmpl w:val="73E8FC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795926">
    <w:abstractNumId w:val="34"/>
  </w:num>
  <w:num w:numId="2" w16cid:durableId="954211898">
    <w:abstractNumId w:val="0"/>
  </w:num>
  <w:num w:numId="3" w16cid:durableId="422265163">
    <w:abstractNumId w:val="16"/>
  </w:num>
  <w:num w:numId="4" w16cid:durableId="908728395">
    <w:abstractNumId w:val="14"/>
  </w:num>
  <w:num w:numId="5" w16cid:durableId="278873820">
    <w:abstractNumId w:val="28"/>
  </w:num>
  <w:num w:numId="6" w16cid:durableId="1319190117">
    <w:abstractNumId w:val="8"/>
  </w:num>
  <w:num w:numId="7" w16cid:durableId="2112433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8801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0025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67002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76058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5632918">
    <w:abstractNumId w:val="31"/>
  </w:num>
  <w:num w:numId="13" w16cid:durableId="1337802948">
    <w:abstractNumId w:val="5"/>
  </w:num>
  <w:num w:numId="14" w16cid:durableId="759571338">
    <w:abstractNumId w:val="4"/>
  </w:num>
  <w:num w:numId="15" w16cid:durableId="476804355">
    <w:abstractNumId w:val="27"/>
  </w:num>
  <w:num w:numId="16" w16cid:durableId="1825505923">
    <w:abstractNumId w:val="32"/>
  </w:num>
  <w:num w:numId="17" w16cid:durableId="1531648592">
    <w:abstractNumId w:val="23"/>
  </w:num>
  <w:num w:numId="18" w16cid:durableId="717315360">
    <w:abstractNumId w:val="2"/>
  </w:num>
  <w:num w:numId="19" w16cid:durableId="1635061025">
    <w:abstractNumId w:val="30"/>
  </w:num>
  <w:num w:numId="20" w16cid:durableId="1350793742">
    <w:abstractNumId w:val="29"/>
  </w:num>
  <w:num w:numId="21" w16cid:durableId="1181553987">
    <w:abstractNumId w:val="10"/>
  </w:num>
  <w:num w:numId="22" w16cid:durableId="1808431741">
    <w:abstractNumId w:val="20"/>
  </w:num>
  <w:num w:numId="23" w16cid:durableId="1741713792">
    <w:abstractNumId w:val="15"/>
  </w:num>
  <w:num w:numId="24" w16cid:durableId="299965977">
    <w:abstractNumId w:val="3"/>
  </w:num>
  <w:num w:numId="25" w16cid:durableId="1692411220">
    <w:abstractNumId w:val="7"/>
  </w:num>
  <w:num w:numId="26" w16cid:durableId="1136920224">
    <w:abstractNumId w:val="6"/>
  </w:num>
  <w:num w:numId="27" w16cid:durableId="1567036612">
    <w:abstractNumId w:val="21"/>
  </w:num>
  <w:num w:numId="28" w16cid:durableId="1711226713">
    <w:abstractNumId w:val="1"/>
  </w:num>
  <w:num w:numId="29" w16cid:durableId="1431856186">
    <w:abstractNumId w:val="12"/>
  </w:num>
  <w:num w:numId="30" w16cid:durableId="2063869451">
    <w:abstractNumId w:val="25"/>
  </w:num>
  <w:num w:numId="31" w16cid:durableId="1098675136">
    <w:abstractNumId w:val="24"/>
  </w:num>
  <w:num w:numId="32" w16cid:durableId="1244756739">
    <w:abstractNumId w:val="36"/>
  </w:num>
  <w:num w:numId="33" w16cid:durableId="714813293">
    <w:abstractNumId w:val="9"/>
  </w:num>
  <w:num w:numId="34" w16cid:durableId="1396392388">
    <w:abstractNumId w:val="19"/>
  </w:num>
  <w:num w:numId="35" w16cid:durableId="755635967">
    <w:abstractNumId w:val="35"/>
  </w:num>
  <w:num w:numId="36" w16cid:durableId="1988431211">
    <w:abstractNumId w:val="11"/>
  </w:num>
  <w:num w:numId="37" w16cid:durableId="1439333722">
    <w:abstractNumId w:val="17"/>
  </w:num>
  <w:num w:numId="38" w16cid:durableId="1251810254">
    <w:abstractNumId w:val="33"/>
  </w:num>
  <w:num w:numId="39" w16cid:durableId="24723194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57CD"/>
    <w:rsid w:val="000A7C0C"/>
    <w:rsid w:val="000B0616"/>
    <w:rsid w:val="000B3758"/>
    <w:rsid w:val="000B37B6"/>
    <w:rsid w:val="000B7681"/>
    <w:rsid w:val="000B7B42"/>
    <w:rsid w:val="000C02B7"/>
    <w:rsid w:val="000C2814"/>
    <w:rsid w:val="000C5100"/>
    <w:rsid w:val="000C5342"/>
    <w:rsid w:val="000C706A"/>
    <w:rsid w:val="000D2887"/>
    <w:rsid w:val="000D6D63"/>
    <w:rsid w:val="000D7A38"/>
    <w:rsid w:val="000E0081"/>
    <w:rsid w:val="000E07CF"/>
    <w:rsid w:val="000E31C1"/>
    <w:rsid w:val="000E4817"/>
    <w:rsid w:val="000E680F"/>
    <w:rsid w:val="000F2CF2"/>
    <w:rsid w:val="000F636D"/>
    <w:rsid w:val="000F6440"/>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989"/>
    <w:rsid w:val="00155A9F"/>
    <w:rsid w:val="00160262"/>
    <w:rsid w:val="00162BDA"/>
    <w:rsid w:val="0016780A"/>
    <w:rsid w:val="001713FA"/>
    <w:rsid w:val="00173EBF"/>
    <w:rsid w:val="00175ED3"/>
    <w:rsid w:val="00177AB8"/>
    <w:rsid w:val="001842A2"/>
    <w:rsid w:val="001864B9"/>
    <w:rsid w:val="00187FA8"/>
    <w:rsid w:val="00190492"/>
    <w:rsid w:val="00192F5E"/>
    <w:rsid w:val="001957D4"/>
    <w:rsid w:val="001972BD"/>
    <w:rsid w:val="00197772"/>
    <w:rsid w:val="001A11B8"/>
    <w:rsid w:val="001A4257"/>
    <w:rsid w:val="001A4374"/>
    <w:rsid w:val="001A51C8"/>
    <w:rsid w:val="001B1A9B"/>
    <w:rsid w:val="001B4CA8"/>
    <w:rsid w:val="001B5EA1"/>
    <w:rsid w:val="001C4F3D"/>
    <w:rsid w:val="001C7510"/>
    <w:rsid w:val="001D0CDC"/>
    <w:rsid w:val="001D1D82"/>
    <w:rsid w:val="001D3983"/>
    <w:rsid w:val="001E0908"/>
    <w:rsid w:val="001E1182"/>
    <w:rsid w:val="001F6D42"/>
    <w:rsid w:val="00201C89"/>
    <w:rsid w:val="00202C90"/>
    <w:rsid w:val="002033D8"/>
    <w:rsid w:val="00213DE8"/>
    <w:rsid w:val="00216118"/>
    <w:rsid w:val="00217736"/>
    <w:rsid w:val="002209AB"/>
    <w:rsid w:val="002251E3"/>
    <w:rsid w:val="00227A95"/>
    <w:rsid w:val="002316BD"/>
    <w:rsid w:val="002317E0"/>
    <w:rsid w:val="00237729"/>
    <w:rsid w:val="00244BA4"/>
    <w:rsid w:val="00245952"/>
    <w:rsid w:val="002473FC"/>
    <w:rsid w:val="00252E3C"/>
    <w:rsid w:val="00253637"/>
    <w:rsid w:val="00260D4E"/>
    <w:rsid w:val="00262198"/>
    <w:rsid w:val="0027185D"/>
    <w:rsid w:val="00285F1B"/>
    <w:rsid w:val="00292B81"/>
    <w:rsid w:val="002947A4"/>
    <w:rsid w:val="002A0B5F"/>
    <w:rsid w:val="002A35E1"/>
    <w:rsid w:val="002A57FE"/>
    <w:rsid w:val="002B18AE"/>
    <w:rsid w:val="002C0CD8"/>
    <w:rsid w:val="002C1C93"/>
    <w:rsid w:val="002C5066"/>
    <w:rsid w:val="002C5813"/>
    <w:rsid w:val="002D4AAC"/>
    <w:rsid w:val="002F045A"/>
    <w:rsid w:val="0030039D"/>
    <w:rsid w:val="0030326F"/>
    <w:rsid w:val="00305AC5"/>
    <w:rsid w:val="00310701"/>
    <w:rsid w:val="003143EB"/>
    <w:rsid w:val="003150C4"/>
    <w:rsid w:val="00315980"/>
    <w:rsid w:val="00316F7F"/>
    <w:rsid w:val="003218E8"/>
    <w:rsid w:val="00321C24"/>
    <w:rsid w:val="00325E34"/>
    <w:rsid w:val="00330DCE"/>
    <w:rsid w:val="0033142C"/>
    <w:rsid w:val="00331E11"/>
    <w:rsid w:val="00334761"/>
    <w:rsid w:val="00337EBC"/>
    <w:rsid w:val="00341DCD"/>
    <w:rsid w:val="00342007"/>
    <w:rsid w:val="0034563E"/>
    <w:rsid w:val="003518D6"/>
    <w:rsid w:val="0035460C"/>
    <w:rsid w:val="003556BD"/>
    <w:rsid w:val="00355F3F"/>
    <w:rsid w:val="00356C8A"/>
    <w:rsid w:val="003570A1"/>
    <w:rsid w:val="003602B5"/>
    <w:rsid w:val="00365147"/>
    <w:rsid w:val="00365956"/>
    <w:rsid w:val="00365D42"/>
    <w:rsid w:val="0037016E"/>
    <w:rsid w:val="00372908"/>
    <w:rsid w:val="003744A0"/>
    <w:rsid w:val="00383020"/>
    <w:rsid w:val="0039327E"/>
    <w:rsid w:val="00394CC4"/>
    <w:rsid w:val="00394D7E"/>
    <w:rsid w:val="00395AA1"/>
    <w:rsid w:val="003975FD"/>
    <w:rsid w:val="003A1E36"/>
    <w:rsid w:val="003A46B4"/>
    <w:rsid w:val="003B057D"/>
    <w:rsid w:val="003B4FA4"/>
    <w:rsid w:val="003B60CC"/>
    <w:rsid w:val="003C1B25"/>
    <w:rsid w:val="003C2443"/>
    <w:rsid w:val="003C5DA3"/>
    <w:rsid w:val="003C614B"/>
    <w:rsid w:val="003D4BCD"/>
    <w:rsid w:val="003D5042"/>
    <w:rsid w:val="003D6C2B"/>
    <w:rsid w:val="003E01D8"/>
    <w:rsid w:val="003E2100"/>
    <w:rsid w:val="003E6075"/>
    <w:rsid w:val="003F04B1"/>
    <w:rsid w:val="003F4A43"/>
    <w:rsid w:val="003F6F5B"/>
    <w:rsid w:val="003F7F5E"/>
    <w:rsid w:val="0040342D"/>
    <w:rsid w:val="00407B94"/>
    <w:rsid w:val="0041192D"/>
    <w:rsid w:val="00413EE1"/>
    <w:rsid w:val="0041537B"/>
    <w:rsid w:val="004165C6"/>
    <w:rsid w:val="0042128E"/>
    <w:rsid w:val="00432B60"/>
    <w:rsid w:val="00434D8C"/>
    <w:rsid w:val="00440698"/>
    <w:rsid w:val="00444A10"/>
    <w:rsid w:val="004540E2"/>
    <w:rsid w:val="00454454"/>
    <w:rsid w:val="00456EC2"/>
    <w:rsid w:val="00466293"/>
    <w:rsid w:val="00467924"/>
    <w:rsid w:val="004712A5"/>
    <w:rsid w:val="0047266F"/>
    <w:rsid w:val="00476D6B"/>
    <w:rsid w:val="00492C16"/>
    <w:rsid w:val="00497916"/>
    <w:rsid w:val="004A0678"/>
    <w:rsid w:val="004A48A3"/>
    <w:rsid w:val="004B0D92"/>
    <w:rsid w:val="004B0EC0"/>
    <w:rsid w:val="004B66F1"/>
    <w:rsid w:val="004C3EA0"/>
    <w:rsid w:val="004C7844"/>
    <w:rsid w:val="004E0AFD"/>
    <w:rsid w:val="004F7169"/>
    <w:rsid w:val="00500D66"/>
    <w:rsid w:val="005116A2"/>
    <w:rsid w:val="00514C8E"/>
    <w:rsid w:val="00516366"/>
    <w:rsid w:val="005270FA"/>
    <w:rsid w:val="00531DBF"/>
    <w:rsid w:val="00533C35"/>
    <w:rsid w:val="00536198"/>
    <w:rsid w:val="00543109"/>
    <w:rsid w:val="00545011"/>
    <w:rsid w:val="00545759"/>
    <w:rsid w:val="00545BE0"/>
    <w:rsid w:val="00546930"/>
    <w:rsid w:val="00554C6A"/>
    <w:rsid w:val="00562E85"/>
    <w:rsid w:val="0056332F"/>
    <w:rsid w:val="005719B3"/>
    <w:rsid w:val="0057295E"/>
    <w:rsid w:val="00581C39"/>
    <w:rsid w:val="005903B6"/>
    <w:rsid w:val="005911CC"/>
    <w:rsid w:val="00592773"/>
    <w:rsid w:val="00592BA0"/>
    <w:rsid w:val="00596868"/>
    <w:rsid w:val="00596872"/>
    <w:rsid w:val="005A0247"/>
    <w:rsid w:val="005A126E"/>
    <w:rsid w:val="005A452F"/>
    <w:rsid w:val="005B140D"/>
    <w:rsid w:val="005C1FEA"/>
    <w:rsid w:val="005C2EED"/>
    <w:rsid w:val="005C3495"/>
    <w:rsid w:val="005D2C03"/>
    <w:rsid w:val="005E16FD"/>
    <w:rsid w:val="005E3DFC"/>
    <w:rsid w:val="005E5942"/>
    <w:rsid w:val="005E60AF"/>
    <w:rsid w:val="005E7E55"/>
    <w:rsid w:val="005F1DEA"/>
    <w:rsid w:val="0060293B"/>
    <w:rsid w:val="00606C00"/>
    <w:rsid w:val="00607FC9"/>
    <w:rsid w:val="00610742"/>
    <w:rsid w:val="00614A2B"/>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55EE"/>
    <w:rsid w:val="00666C66"/>
    <w:rsid w:val="00667C10"/>
    <w:rsid w:val="00667EF4"/>
    <w:rsid w:val="00676FCA"/>
    <w:rsid w:val="00677177"/>
    <w:rsid w:val="0068612E"/>
    <w:rsid w:val="00687C92"/>
    <w:rsid w:val="0069534E"/>
    <w:rsid w:val="0069669C"/>
    <w:rsid w:val="006A1200"/>
    <w:rsid w:val="006A4F4E"/>
    <w:rsid w:val="006A6C23"/>
    <w:rsid w:val="006B14DB"/>
    <w:rsid w:val="006B21C4"/>
    <w:rsid w:val="006B7BFD"/>
    <w:rsid w:val="006C4A1A"/>
    <w:rsid w:val="006C7F41"/>
    <w:rsid w:val="006D0393"/>
    <w:rsid w:val="006D1A83"/>
    <w:rsid w:val="006E0E4B"/>
    <w:rsid w:val="006E1CFE"/>
    <w:rsid w:val="006F10C4"/>
    <w:rsid w:val="006F25F2"/>
    <w:rsid w:val="006F2F18"/>
    <w:rsid w:val="006F3F03"/>
    <w:rsid w:val="006F40E9"/>
    <w:rsid w:val="006F5603"/>
    <w:rsid w:val="006F7B87"/>
    <w:rsid w:val="0070007D"/>
    <w:rsid w:val="00701400"/>
    <w:rsid w:val="007037CF"/>
    <w:rsid w:val="00705ADA"/>
    <w:rsid w:val="007167C0"/>
    <w:rsid w:val="00720481"/>
    <w:rsid w:val="00733193"/>
    <w:rsid w:val="00733CF3"/>
    <w:rsid w:val="00744DDA"/>
    <w:rsid w:val="00745E03"/>
    <w:rsid w:val="0075732A"/>
    <w:rsid w:val="007600F8"/>
    <w:rsid w:val="00760262"/>
    <w:rsid w:val="0076310C"/>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F84"/>
    <w:rsid w:val="007A51F0"/>
    <w:rsid w:val="007B0EB2"/>
    <w:rsid w:val="007B106C"/>
    <w:rsid w:val="007B1A4E"/>
    <w:rsid w:val="007B3D05"/>
    <w:rsid w:val="007B5503"/>
    <w:rsid w:val="007B5F2A"/>
    <w:rsid w:val="007C0899"/>
    <w:rsid w:val="007C179C"/>
    <w:rsid w:val="007C3EBE"/>
    <w:rsid w:val="007C6BB3"/>
    <w:rsid w:val="007D14B4"/>
    <w:rsid w:val="007D1736"/>
    <w:rsid w:val="007D3AD7"/>
    <w:rsid w:val="007D6E70"/>
    <w:rsid w:val="007E0A4F"/>
    <w:rsid w:val="007E24F6"/>
    <w:rsid w:val="007E3D5E"/>
    <w:rsid w:val="007E575B"/>
    <w:rsid w:val="00800F64"/>
    <w:rsid w:val="00801050"/>
    <w:rsid w:val="00802F0B"/>
    <w:rsid w:val="00805E05"/>
    <w:rsid w:val="0080688E"/>
    <w:rsid w:val="00810A67"/>
    <w:rsid w:val="008165A9"/>
    <w:rsid w:val="00832B51"/>
    <w:rsid w:val="00833CF7"/>
    <w:rsid w:val="00834CDE"/>
    <w:rsid w:val="00842464"/>
    <w:rsid w:val="00845601"/>
    <w:rsid w:val="0085080A"/>
    <w:rsid w:val="00852173"/>
    <w:rsid w:val="00855C5C"/>
    <w:rsid w:val="00860967"/>
    <w:rsid w:val="008A3C96"/>
    <w:rsid w:val="008A42C0"/>
    <w:rsid w:val="008B4019"/>
    <w:rsid w:val="008B65C9"/>
    <w:rsid w:val="008C2D4A"/>
    <w:rsid w:val="008C692B"/>
    <w:rsid w:val="008C7439"/>
    <w:rsid w:val="008D3900"/>
    <w:rsid w:val="008D5604"/>
    <w:rsid w:val="008D6E1D"/>
    <w:rsid w:val="008E6AC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408E"/>
    <w:rsid w:val="0095013D"/>
    <w:rsid w:val="00952DDF"/>
    <w:rsid w:val="009610A3"/>
    <w:rsid w:val="00963B6A"/>
    <w:rsid w:val="00970950"/>
    <w:rsid w:val="009765AA"/>
    <w:rsid w:val="009812D4"/>
    <w:rsid w:val="009920D8"/>
    <w:rsid w:val="009952F5"/>
    <w:rsid w:val="009A207E"/>
    <w:rsid w:val="009A4779"/>
    <w:rsid w:val="009B38BE"/>
    <w:rsid w:val="009C1C09"/>
    <w:rsid w:val="009C3D0F"/>
    <w:rsid w:val="009D4E25"/>
    <w:rsid w:val="009D66DE"/>
    <w:rsid w:val="009E0F14"/>
    <w:rsid w:val="009E1274"/>
    <w:rsid w:val="009E1B19"/>
    <w:rsid w:val="009E353C"/>
    <w:rsid w:val="009E62C1"/>
    <w:rsid w:val="009F35E2"/>
    <w:rsid w:val="009F65F9"/>
    <w:rsid w:val="009F68BA"/>
    <w:rsid w:val="00A00E16"/>
    <w:rsid w:val="00A030F2"/>
    <w:rsid w:val="00A06277"/>
    <w:rsid w:val="00A079DC"/>
    <w:rsid w:val="00A111C2"/>
    <w:rsid w:val="00A3069F"/>
    <w:rsid w:val="00A3173C"/>
    <w:rsid w:val="00A338E7"/>
    <w:rsid w:val="00A35CAA"/>
    <w:rsid w:val="00A36E7F"/>
    <w:rsid w:val="00A41E65"/>
    <w:rsid w:val="00A43993"/>
    <w:rsid w:val="00A43E0A"/>
    <w:rsid w:val="00A45D04"/>
    <w:rsid w:val="00A461CA"/>
    <w:rsid w:val="00A530C7"/>
    <w:rsid w:val="00A5487D"/>
    <w:rsid w:val="00A55F5B"/>
    <w:rsid w:val="00A60185"/>
    <w:rsid w:val="00A63249"/>
    <w:rsid w:val="00A65B0D"/>
    <w:rsid w:val="00A661EA"/>
    <w:rsid w:val="00A80149"/>
    <w:rsid w:val="00A830E5"/>
    <w:rsid w:val="00A850E8"/>
    <w:rsid w:val="00A87135"/>
    <w:rsid w:val="00A90052"/>
    <w:rsid w:val="00A93280"/>
    <w:rsid w:val="00A951EA"/>
    <w:rsid w:val="00AA2548"/>
    <w:rsid w:val="00AA290F"/>
    <w:rsid w:val="00AA58C4"/>
    <w:rsid w:val="00AA7003"/>
    <w:rsid w:val="00AA7E02"/>
    <w:rsid w:val="00AB11C8"/>
    <w:rsid w:val="00AB4D80"/>
    <w:rsid w:val="00AB6EFA"/>
    <w:rsid w:val="00AC08A8"/>
    <w:rsid w:val="00AC0AFC"/>
    <w:rsid w:val="00AD56C8"/>
    <w:rsid w:val="00AD58F2"/>
    <w:rsid w:val="00AD61ED"/>
    <w:rsid w:val="00AF3890"/>
    <w:rsid w:val="00B0512A"/>
    <w:rsid w:val="00B0529F"/>
    <w:rsid w:val="00B1418B"/>
    <w:rsid w:val="00B21195"/>
    <w:rsid w:val="00B24B22"/>
    <w:rsid w:val="00B25310"/>
    <w:rsid w:val="00B26F4B"/>
    <w:rsid w:val="00B32F8F"/>
    <w:rsid w:val="00B3492A"/>
    <w:rsid w:val="00B42A27"/>
    <w:rsid w:val="00B54026"/>
    <w:rsid w:val="00B547A2"/>
    <w:rsid w:val="00B54DE9"/>
    <w:rsid w:val="00B553EC"/>
    <w:rsid w:val="00B55E3F"/>
    <w:rsid w:val="00B62952"/>
    <w:rsid w:val="00B63C1E"/>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4634"/>
    <w:rsid w:val="00BE499E"/>
    <w:rsid w:val="00BE6D3C"/>
    <w:rsid w:val="00BE7852"/>
    <w:rsid w:val="00BF3B75"/>
    <w:rsid w:val="00BF74E8"/>
    <w:rsid w:val="00BF7CEE"/>
    <w:rsid w:val="00C02681"/>
    <w:rsid w:val="00C03880"/>
    <w:rsid w:val="00C03AD2"/>
    <w:rsid w:val="00C055CA"/>
    <w:rsid w:val="00C10C26"/>
    <w:rsid w:val="00C135CF"/>
    <w:rsid w:val="00C2683F"/>
    <w:rsid w:val="00C27B0D"/>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723"/>
    <w:rsid w:val="00CB1690"/>
    <w:rsid w:val="00CB1E58"/>
    <w:rsid w:val="00CC292C"/>
    <w:rsid w:val="00CC4365"/>
    <w:rsid w:val="00CC4DB7"/>
    <w:rsid w:val="00CD11B0"/>
    <w:rsid w:val="00CD3686"/>
    <w:rsid w:val="00CD4271"/>
    <w:rsid w:val="00CE71C2"/>
    <w:rsid w:val="00CF2F06"/>
    <w:rsid w:val="00CF34E9"/>
    <w:rsid w:val="00CF42D5"/>
    <w:rsid w:val="00CF4EDA"/>
    <w:rsid w:val="00CF5BEC"/>
    <w:rsid w:val="00D009D3"/>
    <w:rsid w:val="00D00D29"/>
    <w:rsid w:val="00D02012"/>
    <w:rsid w:val="00D021CB"/>
    <w:rsid w:val="00D10F1A"/>
    <w:rsid w:val="00D116F8"/>
    <w:rsid w:val="00D17596"/>
    <w:rsid w:val="00D21D54"/>
    <w:rsid w:val="00D22640"/>
    <w:rsid w:val="00D26D3A"/>
    <w:rsid w:val="00D30C13"/>
    <w:rsid w:val="00D31CA5"/>
    <w:rsid w:val="00D43033"/>
    <w:rsid w:val="00D45EE3"/>
    <w:rsid w:val="00D45FAB"/>
    <w:rsid w:val="00D50618"/>
    <w:rsid w:val="00D509E9"/>
    <w:rsid w:val="00D51235"/>
    <w:rsid w:val="00D53B1C"/>
    <w:rsid w:val="00D70B3A"/>
    <w:rsid w:val="00D73832"/>
    <w:rsid w:val="00D767B7"/>
    <w:rsid w:val="00D76B43"/>
    <w:rsid w:val="00DA1B12"/>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5613"/>
    <w:rsid w:val="00E356E5"/>
    <w:rsid w:val="00E36958"/>
    <w:rsid w:val="00E36AFB"/>
    <w:rsid w:val="00E36F81"/>
    <w:rsid w:val="00E45765"/>
    <w:rsid w:val="00E5098C"/>
    <w:rsid w:val="00E51AF5"/>
    <w:rsid w:val="00E565E5"/>
    <w:rsid w:val="00E60213"/>
    <w:rsid w:val="00E61AC1"/>
    <w:rsid w:val="00E64DDB"/>
    <w:rsid w:val="00E661B2"/>
    <w:rsid w:val="00E72A27"/>
    <w:rsid w:val="00E74D29"/>
    <w:rsid w:val="00E83C74"/>
    <w:rsid w:val="00E83CEE"/>
    <w:rsid w:val="00E91F18"/>
    <w:rsid w:val="00E9226D"/>
    <w:rsid w:val="00E94500"/>
    <w:rsid w:val="00E963EE"/>
    <w:rsid w:val="00EA416C"/>
    <w:rsid w:val="00EA465F"/>
    <w:rsid w:val="00EA51E5"/>
    <w:rsid w:val="00EA5941"/>
    <w:rsid w:val="00EB60CE"/>
    <w:rsid w:val="00EB7D53"/>
    <w:rsid w:val="00EB7FA1"/>
    <w:rsid w:val="00EC1FC4"/>
    <w:rsid w:val="00EC7153"/>
    <w:rsid w:val="00EC7754"/>
    <w:rsid w:val="00ED0006"/>
    <w:rsid w:val="00ED3586"/>
    <w:rsid w:val="00EE3146"/>
    <w:rsid w:val="00EE63F7"/>
    <w:rsid w:val="00EF1218"/>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42277"/>
    <w:rsid w:val="00F4248E"/>
    <w:rsid w:val="00F4486B"/>
    <w:rsid w:val="00F45E9A"/>
    <w:rsid w:val="00F477BD"/>
    <w:rsid w:val="00F51740"/>
    <w:rsid w:val="00F53491"/>
    <w:rsid w:val="00F63925"/>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5A3F"/>
    <w:rsid w:val="00FC018D"/>
    <w:rsid w:val="00FD1694"/>
    <w:rsid w:val="00FD7636"/>
    <w:rsid w:val="00FE3229"/>
    <w:rsid w:val="00FE50BA"/>
    <w:rsid w:val="00FE74C3"/>
    <w:rsid w:val="00FF05FD"/>
    <w:rsid w:val="00FF0740"/>
    <w:rsid w:val="00FF2122"/>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A"/>
    <w:pPr>
      <w:spacing w:after="180" w:line="266" w:lineRule="auto"/>
    </w:pPr>
    <w:rPr>
      <w:rFonts w:asciiTheme="minorHAnsi" w:eastAsiaTheme="minorEastAsia" w:hAnsiTheme="minorHAnsi"/>
      <w:sz w:val="22"/>
      <w:szCs w:val="72"/>
      <w:lang w:val="en-US" w:eastAsia="en-US"/>
    </w:rPr>
  </w:style>
  <w:style w:type="paragraph" w:styleId="Heading1">
    <w:name w:val="heading 1"/>
    <w:basedOn w:val="Normal"/>
    <w:next w:val="Normal"/>
    <w:link w:val="Heading1Char"/>
    <w:uiPriority w:val="9"/>
    <w:qFormat/>
    <w:rsid w:val="003F04B1"/>
    <w:pPr>
      <w:keepNext/>
      <w:spacing w:before="120"/>
      <w:outlineLvl w:val="0"/>
    </w:pPr>
    <w:rPr>
      <w:rFonts w:eastAsia="Calibri" w:cs="Arial"/>
      <w:b/>
      <w:caps/>
      <w:color w:val="26C2DD" w:themeColor="accent1"/>
      <w:sz w:val="44"/>
      <w:szCs w:val="22"/>
      <w:lang w:val="en-AU"/>
    </w:rPr>
  </w:style>
  <w:style w:type="paragraph" w:styleId="Heading2">
    <w:name w:val="heading 2"/>
    <w:basedOn w:val="Normal"/>
    <w:next w:val="Normal"/>
    <w:link w:val="Heading2Char"/>
    <w:uiPriority w:val="9"/>
    <w:qFormat/>
    <w:rsid w:val="003F04B1"/>
    <w:pPr>
      <w:keepNext/>
      <w:spacing w:before="120"/>
      <w:outlineLvl w:val="1"/>
    </w:pPr>
    <w:rPr>
      <w:rFonts w:eastAsia="Calibri" w:cs="Arial"/>
      <w:b/>
      <w:color w:val="707274" w:themeColor="text2"/>
      <w:sz w:val="36"/>
      <w:szCs w:val="22"/>
      <w:lang w:val="en-AU"/>
    </w:rPr>
  </w:style>
  <w:style w:type="paragraph" w:styleId="Heading3">
    <w:name w:val="heading 3"/>
    <w:basedOn w:val="Normal"/>
    <w:next w:val="Normal"/>
    <w:link w:val="Heading3Char"/>
    <w:uiPriority w:val="9"/>
    <w:qFormat/>
    <w:rsid w:val="00596868"/>
    <w:pPr>
      <w:keepNext/>
      <w:spacing w:before="120"/>
      <w:outlineLvl w:val="2"/>
    </w:pPr>
    <w:rPr>
      <w:rFonts w:eastAsia="Calibri" w:cs="Arial"/>
      <w:b/>
      <w:color w:val="707274" w:themeColor="text2"/>
      <w:sz w:val="28"/>
      <w:szCs w:val="22"/>
      <w:lang w:val="en-AU"/>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lang w:val="en-AU"/>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7072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lang w:val="en-AU"/>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lang w:val="en-AU"/>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character" w:styleId="IntenseEmphasis">
    <w:name w:val="Intense Emphasis"/>
    <w:basedOn w:val="DefaultParagraphFont"/>
    <w:uiPriority w:val="21"/>
    <w:rsid w:val="00B26F4B"/>
    <w:rPr>
      <w:i/>
      <w:iCs/>
      <w:color w:val="26C2DD" w:themeColor="accent1"/>
    </w:rPr>
  </w:style>
  <w:style w:type="character" w:customStyle="1" w:styleId="Heading1Char">
    <w:name w:val="Heading 1 Char"/>
    <w:basedOn w:val="DefaultParagraphFont"/>
    <w:link w:val="Heading1"/>
    <w:uiPriority w:val="9"/>
    <w:rsid w:val="003F04B1"/>
    <w:rPr>
      <w:rFonts w:asciiTheme="minorHAnsi" w:hAnsiTheme="minorHAnsi" w:cs="Arial"/>
      <w:b/>
      <w:caps/>
      <w:color w:val="26C2DD" w:themeColor="accent1"/>
      <w:sz w:val="44"/>
      <w:szCs w:val="22"/>
      <w:lang w:eastAsia="en-US"/>
    </w:rPr>
  </w:style>
  <w:style w:type="character" w:customStyle="1" w:styleId="Heading2Char">
    <w:name w:val="Heading 2 Char"/>
    <w:basedOn w:val="DefaultParagraphFont"/>
    <w:link w:val="Heading2"/>
    <w:uiPriority w:val="9"/>
    <w:rsid w:val="003F04B1"/>
    <w:rPr>
      <w:rFonts w:asciiTheme="minorHAnsi" w:hAnsiTheme="minorHAnsi" w:cs="Arial"/>
      <w:b/>
      <w:color w:val="707274" w:themeColor="text2"/>
      <w:sz w:val="36"/>
      <w:szCs w:val="22"/>
      <w:lang w:eastAsia="en-US"/>
    </w:rPr>
  </w:style>
  <w:style w:type="character" w:customStyle="1" w:styleId="Heading3Char">
    <w:name w:val="Heading 3 Char"/>
    <w:basedOn w:val="DefaultParagraphFont"/>
    <w:link w:val="Heading3"/>
    <w:uiPriority w:val="9"/>
    <w:rsid w:val="00596868"/>
    <w:rPr>
      <w:rFonts w:asciiTheme="minorHAnsi" w:hAnsiTheme="minorHAnsi" w:cs="Arial"/>
      <w:b/>
      <w:color w:val="707274"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9765AA"/>
    <w:pPr>
      <w:numPr>
        <w:numId w:val="6"/>
      </w:numPr>
    </w:pPr>
    <w:rPr>
      <w:rFonts w:eastAsia="Calibri"/>
      <w:szCs w:val="22"/>
      <w:lang w:val="en-AU"/>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lang w:val="en-AU"/>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lang w:val="en-AU"/>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lang w:val="en-AU"/>
    </w:rPr>
  </w:style>
  <w:style w:type="paragraph" w:styleId="ListBullet5">
    <w:name w:val="List Bullet 5"/>
    <w:basedOn w:val="Normal"/>
    <w:uiPriority w:val="99"/>
    <w:unhideWhenUsed/>
    <w:rsid w:val="00091608"/>
    <w:pPr>
      <w:numPr>
        <w:ilvl w:val="4"/>
        <w:numId w:val="6"/>
      </w:numPr>
      <w:spacing w:after="200" w:line="276" w:lineRule="auto"/>
    </w:pPr>
    <w:rPr>
      <w:rFonts w:ascii="Arial" w:eastAsia="Calibri" w:hAnsi="Arial"/>
      <w:szCs w:val="22"/>
      <w:lang w:val="en-AU"/>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val="en-AU" w:eastAsia="en-AU"/>
    </w:rPr>
  </w:style>
  <w:style w:type="paragraph" w:styleId="ListParagraph">
    <w:name w:val="List Paragraph"/>
    <w:basedOn w:val="Normal"/>
    <w:uiPriority w:val="34"/>
    <w:qFormat/>
    <w:rsid w:val="009765AA"/>
    <w:pPr>
      <w:numPr>
        <w:numId w:val="4"/>
      </w:numPr>
    </w:pPr>
    <w:rPr>
      <w:rFonts w:eastAsia="Calibri"/>
      <w:szCs w:val="22"/>
      <w:lang w:val="en-AU"/>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lang w:val="en-AU"/>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lang w:val="en-AU"/>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lang w:val="en-AU"/>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lang w:val="en-AU"/>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lang w:val="en-AU"/>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lang w:val="en-AU"/>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unhideWhenUsed/>
    <w:rsid w:val="004165C6"/>
    <w:rPr>
      <w:sz w:val="20"/>
      <w:szCs w:val="20"/>
    </w:rPr>
  </w:style>
  <w:style w:type="character" w:customStyle="1" w:styleId="CommentTextChar">
    <w:name w:val="Comment Text Char"/>
    <w:basedOn w:val="DefaultParagraphFont"/>
    <w:link w:val="CommentText"/>
    <w:uiPriority w:val="99"/>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val="en-AU"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707274" w:themeColor="text2"/>
      <w:sz w:val="22"/>
      <w:szCs w:val="72"/>
      <w:lang w:val="en-US" w:eastAsia="en-US"/>
    </w:rPr>
  </w:style>
  <w:style w:type="paragraph" w:styleId="List">
    <w:name w:val="List"/>
    <w:basedOn w:val="Normal"/>
    <w:uiPriority w:val="99"/>
    <w:rsid w:val="009765AA"/>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nvironment_Document" ma:contentTypeID="0x0101009C6A995BFF8C4B4EBFED2C2DC151354D00DACEF49C8CAD994BA04362A865D8802B" ma:contentTypeVersion="31" ma:contentTypeDescription="Environment Document Template" ma:contentTypeScope="" ma:versionID="92e563f6629f6b3c3ad5c99c36081e45">
  <xsd:schema xmlns:xsd="http://www.w3.org/2001/XMLSchema" xmlns:xs="http://www.w3.org/2001/XMLSchema" xmlns:p="http://schemas.microsoft.com/office/2006/metadata/properties" xmlns:ns2="73e31e64-9ecd-416b-982c-45dad834e8ad" xmlns:ns3="c7d8b2ec-b489-4b34-a869-aedfcf118f0a" xmlns:ns5="d7d73a1a-cdbe-4551-a207-1116fbd56934" xmlns:ns6="ab94a36f-70bc-43e4-87b4-e8f3c16ce7ff" targetNamespace="http://schemas.microsoft.com/office/2006/metadata/properties" ma:root="true" ma:fieldsID="5404c5729e4e5ae16a7c778e988ed7b7" ns2:_="" ns3:_="" ns5:_="" ns6:_="">
    <xsd:import namespace="73e31e64-9ecd-416b-982c-45dad834e8ad"/>
    <xsd:import namespace="c7d8b2ec-b489-4b34-a869-aedfcf118f0a"/>
    <xsd:import namespace="d7d73a1a-cdbe-4551-a207-1116fbd56934"/>
    <xsd:import namespace="ab94a36f-70bc-43e4-87b4-e8f3c16ce7ff"/>
    <xsd:element name="properties">
      <xsd:complexType>
        <xsd:sequence>
          <xsd:element name="documentManagement">
            <xsd:complexType>
              <xsd:all>
                <xsd:element ref="ns2:Description1" minOccurs="0"/>
                <xsd:element ref="ns2:Publish_x0020_Date" minOccurs="0"/>
                <xsd:element ref="ns2:Review_x0020_Date" minOccurs="0"/>
                <xsd:element ref="ns2:Expiry_x0020_Date" minOccurs="0"/>
                <xsd:element ref="ns2:Owner" minOccurs="0"/>
                <xsd:element ref="ns3:Director_x0020_PN" minOccurs="0"/>
                <xsd:element ref="ns2:p1874c0f920642f99c085676e4e2b6df" minOccurs="0"/>
                <xsd:element ref="ns2:h2b8f1fa2005475eb0cc06332156cc5d" minOccurs="0"/>
                <xsd:element ref="ns2:me6a9d0e7d9c4a958f4e06775e8a63f2" minOccurs="0"/>
                <xsd:element ref="ns3:TaxCatchAll" minOccurs="0"/>
                <xsd:element ref="ns3:TaxCatchAllLabel" minOccurs="0"/>
                <xsd:element ref="ns5:h0ad31a01e004c7aa6dc27502266d5e4" minOccurs="0"/>
                <xsd:element ref="ns6:Document_x0020_type" minOccurs="0"/>
                <xsd:element ref="ns5:SharedWithUsers" minOccurs="0"/>
                <xsd:element ref="ns5:SharedWithDetails" minOccurs="0"/>
                <xsd:element ref="ns6:sub_x0020_topic" minOccurs="0"/>
                <xsd:element ref="ns6:_x0078_md3" minOccurs="0"/>
                <xsd:element ref="ns6:xxhh" minOccurs="0"/>
                <xsd:element ref="ns6:f3fa"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31e64-9ecd-416b-982c-45dad834e8ad" elementFormDefault="qualified">
    <xsd:import namespace="http://schemas.microsoft.com/office/2006/documentManagement/types"/>
    <xsd:import namespace="http://schemas.microsoft.com/office/infopath/2007/PartnerControls"/>
    <xsd:element name="Description1" ma:index="2" nillable="true" ma:displayName="Description" ma:internalName="Description1">
      <xsd:simpleType>
        <xsd:restriction base="dms:Note">
          <xsd:maxLength value="255"/>
        </xsd:restriction>
      </xsd:simpleType>
    </xsd:element>
    <xsd:element name="Publish_x0020_Date" ma:index="8" nillable="true" ma:displayName="Publish Date" ma:format="DateOnly" ma:internalName="Publish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Expiry_x0020_Date" ma:index="10" nillable="true" ma:displayName="Expiry Date" ma:format="DateOnly" ma:internalName="Expiry_x0020_Date">
      <xsd:simpleType>
        <xsd:restriction base="dms:DateTime"/>
      </xsd:simpleType>
    </xsd:element>
    <xsd:element name="Owner" ma:index="11" nillable="true" ma:displayName="Owner PN" ma:description="Enter DoEE_POS_ then seven digit position number including leading zeros"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1874c0f920642f99c085676e4e2b6df" ma:index="15" nillable="true" ma:taxonomy="true" ma:internalName="p1874c0f920642f99c085676e4e2b6df" ma:taxonomyFieldName="DotEE_x0020_Location" ma:displayName="Environment Location" ma:default="" ma:fieldId="{91874c0f-9206-42f9-9c08-5676e4e2b6df}" ma:sspId="87598eba-33fc-4c36-91ef-cfebcfd8a582" ma:termSetId="b49f64b3-4722-4336-9a5c-56c326b344d4" ma:anchorId="00000000-0000-0000-0000-000000000000" ma:open="true" ma:isKeyword="false">
      <xsd:complexType>
        <xsd:sequence>
          <xsd:element ref="pc:Terms" minOccurs="0" maxOccurs="1"/>
        </xsd:sequence>
      </xsd:complexType>
    </xsd:element>
    <xsd:element name="h2b8f1fa2005475eb0cc06332156cc5d" ma:index="18" ma:taxonomy="true" ma:internalName="h2b8f1fa2005475eb0cc06332156cc5d" ma:taxonomyFieldName="Topic_Function" ma:displayName="Topic_Function" ma:default="" ma:fieldId="{12b8f1fa-2005-475e-b0cc-06332156cc5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me6a9d0e7d9c4a958f4e06775e8a63f2" ma:index="19" nillable="true" ma:taxonomy="true" ma:internalName="me6a9d0e7d9c4a958f4e06775e8a63f2" ma:taxonomyFieldName="Publishing_x0020_Division" ma:displayName="Publishing Division" ma:default="" ma:fieldId="{6e6a9d0e-7d9c-4a95-8f4e-06775e8a63f2}" ma:sspId="87598eba-33fc-4c36-91ef-cfebcfd8a582" ma:termSetId="9b532e62-b618-4d68-9918-31c1946d24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b2ec-b489-4b34-a869-aedfcf118f0a" elementFormDefault="qualified">
    <xsd:import namespace="http://schemas.microsoft.com/office/2006/documentManagement/types"/>
    <xsd:import namespace="http://schemas.microsoft.com/office/infopath/2007/PartnerControls"/>
    <xsd:element name="Director_x0020_PN" ma:index="12" nillable="true" ma:displayName="Director PN" ma:description="Enter DoEE_POS_ then seven digit position number including leading zeros" ma:list="UserInfo" ma:SearchPeopleOnly="false" ma:SharePointGroup="0" ma:internalName="Director_x0020_P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9597d3c3-33eb-4b71-99c7-84fd3c356960}" ma:internalName="TaxCatchAll" ma:showField="CatchAllData" ma:web="c7d8b2ec-b489-4b34-a869-aedfcf118f0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97d3c3-33eb-4b71-99c7-84fd3c356960}" ma:internalName="TaxCatchAllLabel" ma:readOnly="true" ma:showField="CatchAllDataLabel" ma:web="c7d8b2ec-b489-4b34-a869-aedfcf118f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d73a1a-cdbe-4551-a207-1116fbd56934" elementFormDefault="qualified">
    <xsd:import namespace="http://schemas.microsoft.com/office/2006/documentManagement/types"/>
    <xsd:import namespace="http://schemas.microsoft.com/office/infopath/2007/PartnerControls"/>
    <xsd:element name="h0ad31a01e004c7aa6dc27502266d5e4" ma:index="24" ma:taxonomy="true" ma:internalName="h0ad31a01e004c7aa6dc27502266d5e4" ma:taxonomyFieldName="DocumentPurpose" ma:displayName="Document Purpose" ma:default="" ma:fieldId="{10ad31a0-1e00-4c7a-a6dc-27502266d5e4}" ma:sspId="87598eba-33fc-4c36-91ef-cfebcfd8a582" ma:termSetId="1f952162-1209-46da-9d7e-7bde6beef141"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4a36f-70bc-43e4-87b4-e8f3c16ce7ff" elementFormDefault="qualified">
    <xsd:import namespace="http://schemas.microsoft.com/office/2006/documentManagement/types"/>
    <xsd:import namespace="http://schemas.microsoft.com/office/infopath/2007/PartnerControls"/>
    <xsd:element name="Document_x0020_type" ma:index="25" nillable="true" ma:displayName="Document type" ma:format="Dropdown" ma:internalName="Document_x0020_type">
      <xsd:simpleType>
        <xsd:union memberTypes="dms:Text">
          <xsd:simpleType>
            <xsd:restriction base="dms:Choice">
              <xsd:enumeration value="Induction Resources"/>
              <xsd:enumeration value="Work health &amp; Safety Resources"/>
            </xsd:restriction>
          </xsd:simpleType>
        </xsd:union>
      </xsd:simpleType>
    </xsd:element>
    <xsd:element name="sub_x0020_topic" ma:index="28"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_x0078_md3" ma:index="29" nillable="true" ma:displayName="Text" ma:internalName="_x0078_md3">
      <xsd:simpleType>
        <xsd:restriction base="dms:Text"/>
      </xsd:simpleType>
    </xsd:element>
    <xsd:element name="xxhh" ma:index="30" nillable="true" ma:displayName="Text" ma:internalName="xxhh">
      <xsd:simpleType>
        <xsd:restriction base="dms:Text"/>
      </xsd:simpleType>
    </xsd:element>
    <xsd:element name="f3fa" ma:index="31" nillable="true" ma:displayName="Document Type" ma:internalName="f3fa">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xpiry_x0020_Date xmlns="73e31e64-9ecd-416b-982c-45dad834e8ad" xsi:nil="true"/>
    <h0ad31a01e004c7aa6dc27502266d5e4 xmlns="d7d73a1a-cdbe-4551-a207-1116fbd569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eb151fc1-30f7-4809-8b54-471eb89ae89c</TermId>
        </TermInfo>
      </Terms>
    </h0ad31a01e004c7aa6dc27502266d5e4>
    <p1874c0f920642f99c085676e4e2b6df xmlns="73e31e64-9ecd-416b-982c-45dad834e8ad">
      <Terms xmlns="http://schemas.microsoft.com/office/infopath/2007/PartnerControls"/>
    </p1874c0f920642f99c085676e4e2b6df>
    <TaxCatchAll xmlns="c7d8b2ec-b489-4b34-a869-aedfcf118f0a">
      <Value>59</Value>
      <Value>19</Value>
      <Value>10</Value>
    </TaxCatchAll>
    <Director_x0020_PN xmlns="c7d8b2ec-b489-4b34-a869-aedfcf118f0a">
      <UserInfo>
        <DisplayName/>
        <AccountId xsi:nil="true"/>
        <AccountType/>
      </UserInfo>
    </Director_x0020_PN>
    <Review_x0020_Date xmlns="73e31e64-9ecd-416b-982c-45dad834e8ad" xsi:nil="true"/>
    <Description1 xmlns="73e31e64-9ecd-416b-982c-45dad834e8ad" xsi:nil="true"/>
    <h2b8f1fa2005475eb0cc06332156cc5d xmlns="73e31e64-9ecd-416b-982c-45dad834e8ad">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901119fe-6f56-40a9-9a6e-3112d1456a19</TermId>
        </TermInfo>
      </Terms>
    </h2b8f1fa2005475eb0cc06332156cc5d>
    <Document_x0020_type xmlns="ab94a36f-70bc-43e4-87b4-e8f3c16ce7ff" xsi:nil="true"/>
    <Owner xmlns="73e31e64-9ecd-416b-982c-45dad834e8ad">
      <UserInfo>
        <DisplayName/>
        <AccountId xsi:nil="true"/>
        <AccountType/>
      </UserInfo>
    </Owner>
    <Publish_x0020_Date xmlns="73e31e64-9ecd-416b-982c-45dad834e8ad" xsi:nil="true"/>
    <me6a9d0e7d9c4a958f4e06775e8a63f2 xmlns="73e31e64-9ecd-416b-982c-45dad834e8ad">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2c346084-352b-4460-9930-89a80bf087c4</TermId>
        </TermInfo>
      </Terms>
    </me6a9d0e7d9c4a958f4e06775e8a63f2>
    <_x0078_md3 xmlns="ab94a36f-70bc-43e4-87b4-e8f3c16ce7ff" xsi:nil="true"/>
    <xxhh xmlns="ab94a36f-70bc-43e4-87b4-e8f3c16ce7ff" xsi:nil="true"/>
    <sub_x0020_topic xmlns="ab94a36f-70bc-43e4-87b4-e8f3c16ce7ff">
      <Value>Marketing</Value>
    </sub_x0020_topic>
    <f3fa xmlns="ab94a36f-70bc-43e4-87b4-e8f3c16ce7ff" xsi:nil="true"/>
  </documentManagement>
</p:properties>
</file>

<file path=customXml/itemProps1.xml><?xml version="1.0" encoding="utf-8"?>
<ds:datastoreItem xmlns:ds="http://schemas.openxmlformats.org/officeDocument/2006/customXml" ds:itemID="{2FE4BAD4-A917-4634-9740-2865F4330AF5}">
  <ds:schemaRefs>
    <ds:schemaRef ds:uri="http://schemas.microsoft.com/sharepoint/v3/contenttype/forms"/>
  </ds:schemaRefs>
</ds:datastoreItem>
</file>

<file path=customXml/itemProps2.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customXml/itemProps3.xml><?xml version="1.0" encoding="utf-8"?>
<ds:datastoreItem xmlns:ds="http://schemas.openxmlformats.org/officeDocument/2006/customXml" ds:itemID="{20BE15DB-C55A-433E-8D5F-5CE39119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31e64-9ecd-416b-982c-45dad834e8ad"/>
    <ds:schemaRef ds:uri="c7d8b2ec-b489-4b34-a869-aedfcf118f0a"/>
    <ds:schemaRef ds:uri="d7d73a1a-cdbe-4551-a207-1116fbd56934"/>
    <ds:schemaRef ds:uri="ab94a36f-70bc-43e4-87b4-e8f3c16ce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C0A17-51C2-4E8C-9953-9486C3F82161}">
  <ds:schemaRefs>
    <ds:schemaRef ds:uri="http://schemas.microsoft.com/office/2006/metadata/properties"/>
    <ds:schemaRef ds:uri="http://schemas.microsoft.com/office/infopath/2007/PartnerControls"/>
    <ds:schemaRef ds:uri="73e31e64-9ecd-416b-982c-45dad834e8ad"/>
    <ds:schemaRef ds:uri="d7d73a1a-cdbe-4551-a207-1116fbd56934"/>
    <ds:schemaRef ds:uri="c7d8b2ec-b489-4b34-a869-aedfcf118f0a"/>
    <ds:schemaRef ds:uri="ab94a36f-70bc-43e4-87b4-e8f3c16ce7f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1618</Words>
  <Characters>8887</Characters>
  <Application>Microsoft Office Word</Application>
  <DocSecurity>0</DocSecurity>
  <Lines>167</Lines>
  <Paragraphs>92</Paragraphs>
  <ScaleCrop>false</ScaleCrop>
  <HeadingPairs>
    <vt:vector size="2" baseType="variant">
      <vt:variant>
        <vt:lpstr>Title</vt:lpstr>
      </vt:variant>
      <vt:variant>
        <vt:i4>1</vt:i4>
      </vt:variant>
    </vt:vector>
  </HeadingPairs>
  <TitlesOfParts>
    <vt:vector size="1" baseType="lpstr">
      <vt:lpstr>Harbour Trust - Letterhead - August 2021</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Trust - Letterhead - August 2021</dc:title>
  <dc:creator>Bouhabib, Margaret</dc:creator>
  <cp:lastModifiedBy>Freya Jupe</cp:lastModifiedBy>
  <cp:revision>5</cp:revision>
  <cp:lastPrinted>2018-05-15T03:10:00Z</cp:lastPrinted>
  <dcterms:created xsi:type="dcterms:W3CDTF">2022-10-06T01:45:00Z</dcterms:created>
  <dcterms:modified xsi:type="dcterms:W3CDTF">2022-10-06T05:38:00Z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0x0101009C6A995BFF8C4B4EBFED2C2DC151354D00DACEF49C8CAD994BA04362A865D8802B</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ies>
</file>